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3877A" w14:textId="4C896382" w:rsidR="00DA2BB0" w:rsidRPr="00881FE5" w:rsidRDefault="00DA2BB0" w:rsidP="0033231E">
      <w:pPr>
        <w:pStyle w:val="3GPPHeader"/>
        <w:spacing w:after="60"/>
        <w:jc w:val="left"/>
        <w:rPr>
          <w:rFonts w:ascii="Times New Roman" w:hAnsi="Times New Roman"/>
          <w:sz w:val="32"/>
          <w:szCs w:val="32"/>
        </w:rPr>
      </w:pPr>
      <w:r w:rsidRPr="00881FE5">
        <w:rPr>
          <w:rFonts w:ascii="Times New Roman" w:hAnsi="Times New Roman"/>
        </w:rPr>
        <w:t>3GPP RAN WG2 Meeting #132</w:t>
      </w:r>
      <w:r w:rsidRPr="00881FE5">
        <w:rPr>
          <w:rFonts w:ascii="Times New Roman" w:hAnsi="Times New Roman"/>
        </w:rPr>
        <w:tab/>
      </w:r>
      <w:r w:rsidR="00DD2B33" w:rsidRPr="00881FE5">
        <w:rPr>
          <w:rFonts w:ascii="Times New Roman" w:hAnsi="Times New Roman"/>
        </w:rPr>
        <w:t>R2-2508722</w:t>
      </w:r>
    </w:p>
    <w:p w14:paraId="7CB3C1A7" w14:textId="77777777" w:rsidR="00A65B30" w:rsidRPr="00881FE5" w:rsidRDefault="00A65B30" w:rsidP="0033231E">
      <w:pPr>
        <w:pStyle w:val="3GPPHeader"/>
        <w:jc w:val="left"/>
        <w:rPr>
          <w:rFonts w:ascii="Times New Roman" w:hAnsi="Times New Roman"/>
        </w:rPr>
      </w:pPr>
      <w:r w:rsidRPr="00881FE5">
        <w:rPr>
          <w:rFonts w:ascii="Times New Roman" w:hAnsi="Times New Roman"/>
        </w:rPr>
        <w:t>Dallas, USA, Nov. 17</w:t>
      </w:r>
      <w:r w:rsidRPr="00881FE5">
        <w:rPr>
          <w:rFonts w:ascii="Times New Roman" w:hAnsi="Times New Roman"/>
          <w:vertAlign w:val="superscript"/>
        </w:rPr>
        <w:t>th</w:t>
      </w:r>
      <w:r w:rsidRPr="00881FE5">
        <w:rPr>
          <w:rFonts w:ascii="Times New Roman" w:hAnsi="Times New Roman"/>
        </w:rPr>
        <w:t xml:space="preserve"> – 21</w:t>
      </w:r>
      <w:r w:rsidRPr="00881FE5">
        <w:rPr>
          <w:rFonts w:ascii="Times New Roman" w:hAnsi="Times New Roman"/>
          <w:vertAlign w:val="superscript"/>
        </w:rPr>
        <w:t>st</w:t>
      </w:r>
      <w:r w:rsidRPr="00881FE5">
        <w:rPr>
          <w:rFonts w:ascii="Times New Roman" w:hAnsi="Times New Roman"/>
        </w:rPr>
        <w:t>, 2025</w:t>
      </w:r>
    </w:p>
    <w:p w14:paraId="17191DE1" w14:textId="3C8B30E1" w:rsidR="00A65B30" w:rsidRPr="00881FE5" w:rsidRDefault="00A65B30" w:rsidP="0033231E">
      <w:pPr>
        <w:pStyle w:val="CRCoverPage"/>
        <w:tabs>
          <w:tab w:val="left" w:pos="1980"/>
        </w:tabs>
        <w:rPr>
          <w:rFonts w:ascii="Times New Roman" w:hAnsi="Times New Roman"/>
          <w:b/>
          <w:bCs/>
          <w:sz w:val="24"/>
          <w:lang w:eastAsia="ja-JP"/>
        </w:rPr>
      </w:pPr>
      <w:r w:rsidRPr="00881FE5">
        <w:rPr>
          <w:rFonts w:ascii="Times New Roman" w:hAnsi="Times New Roman"/>
          <w:b/>
          <w:bCs/>
          <w:sz w:val="24"/>
        </w:rPr>
        <w:t>Agenda Item:</w:t>
      </w:r>
      <w:r w:rsidRPr="00881FE5">
        <w:rPr>
          <w:rFonts w:ascii="Times New Roman" w:hAnsi="Times New Roman"/>
          <w:b/>
          <w:bCs/>
          <w:sz w:val="24"/>
        </w:rPr>
        <w:tab/>
        <w:t>9.3.3</w:t>
      </w:r>
    </w:p>
    <w:p w14:paraId="399BFE1B" w14:textId="77777777" w:rsidR="00A65B30" w:rsidRPr="00881FE5" w:rsidRDefault="00A65B30" w:rsidP="0033231E">
      <w:pPr>
        <w:tabs>
          <w:tab w:val="left" w:pos="1985"/>
        </w:tabs>
        <w:jc w:val="left"/>
        <w:rPr>
          <w:rFonts w:ascii="Times New Roman" w:hAnsi="Times New Roman"/>
          <w:b/>
          <w:bCs/>
          <w:sz w:val="24"/>
        </w:rPr>
      </w:pPr>
      <w:r w:rsidRPr="00881FE5">
        <w:rPr>
          <w:rFonts w:ascii="Times New Roman" w:hAnsi="Times New Roman"/>
          <w:b/>
          <w:bCs/>
          <w:sz w:val="24"/>
        </w:rPr>
        <w:t>Source:</w:t>
      </w:r>
      <w:r w:rsidRPr="00881FE5">
        <w:rPr>
          <w:rFonts w:ascii="Times New Roman" w:hAnsi="Times New Roman"/>
          <w:b/>
          <w:bCs/>
          <w:sz w:val="24"/>
        </w:rPr>
        <w:tab/>
        <w:t>InterDigital, Inc.</w:t>
      </w:r>
    </w:p>
    <w:p w14:paraId="30702295" w14:textId="2BF7CB05" w:rsidR="00A65B30" w:rsidRPr="00881FE5" w:rsidRDefault="00A65B30" w:rsidP="0033231E">
      <w:pPr>
        <w:ind w:left="1985" w:hanging="1985"/>
        <w:jc w:val="left"/>
        <w:rPr>
          <w:rFonts w:ascii="Times New Roman" w:hAnsi="Times New Roman"/>
          <w:b/>
          <w:bCs/>
        </w:rPr>
      </w:pPr>
      <w:r w:rsidRPr="00881FE5">
        <w:rPr>
          <w:rFonts w:ascii="Times New Roman" w:hAnsi="Times New Roman"/>
          <w:b/>
          <w:bCs/>
          <w:sz w:val="24"/>
        </w:rPr>
        <w:t>Title:</w:t>
      </w:r>
      <w:r w:rsidRPr="00881FE5">
        <w:rPr>
          <w:rFonts w:ascii="Times New Roman" w:hAnsi="Times New Roman"/>
          <w:b/>
          <w:bCs/>
          <w:sz w:val="24"/>
        </w:rPr>
        <w:tab/>
        <w:t xml:space="preserve">Functionality management for UE sided model for RRM measurement </w:t>
      </w:r>
      <w:r w:rsidR="00DC5A23" w:rsidRPr="00881FE5">
        <w:rPr>
          <w:rFonts w:ascii="Times New Roman" w:hAnsi="Times New Roman"/>
          <w:b/>
          <w:bCs/>
          <w:sz w:val="24"/>
        </w:rPr>
        <w:t xml:space="preserve">event </w:t>
      </w:r>
      <w:r w:rsidRPr="00881FE5">
        <w:rPr>
          <w:rFonts w:ascii="Times New Roman" w:hAnsi="Times New Roman"/>
          <w:b/>
          <w:bCs/>
          <w:sz w:val="24"/>
        </w:rPr>
        <w:t>prediction</w:t>
      </w:r>
    </w:p>
    <w:p w14:paraId="58EB80A0" w14:textId="77777777" w:rsidR="00A65B30" w:rsidRPr="00881FE5" w:rsidRDefault="00A65B30" w:rsidP="0033231E">
      <w:pPr>
        <w:ind w:left="1985" w:hanging="1985"/>
        <w:jc w:val="left"/>
        <w:rPr>
          <w:rFonts w:ascii="Times New Roman" w:hAnsi="Times New Roman"/>
          <w:b/>
          <w:bCs/>
          <w:sz w:val="24"/>
        </w:rPr>
      </w:pPr>
      <w:r w:rsidRPr="00881FE5">
        <w:rPr>
          <w:rFonts w:ascii="Times New Roman" w:hAnsi="Times New Roman"/>
          <w:b/>
          <w:bCs/>
          <w:sz w:val="24"/>
        </w:rPr>
        <w:t>Document for:</w:t>
      </w:r>
      <w:r w:rsidRPr="00881FE5">
        <w:rPr>
          <w:rFonts w:ascii="Times New Roman" w:hAnsi="Times New Roman"/>
          <w:b/>
          <w:bCs/>
          <w:sz w:val="24"/>
        </w:rPr>
        <w:tab/>
        <w:t>Discussion</w:t>
      </w:r>
    </w:p>
    <w:p w14:paraId="24A1DE12" w14:textId="691FEF6E" w:rsidR="001A6BCF" w:rsidRPr="00881FE5" w:rsidRDefault="00A15B67" w:rsidP="0033231E">
      <w:pPr>
        <w:pStyle w:val="Heading1"/>
      </w:pPr>
      <w:r w:rsidRPr="00881FE5">
        <w:rPr>
          <w:sz w:val="32"/>
          <w:szCs w:val="32"/>
        </w:rPr>
        <w:t xml:space="preserve">1. </w:t>
      </w:r>
      <w:r w:rsidRPr="00881FE5">
        <w:t>Introduction</w:t>
      </w:r>
    </w:p>
    <w:p w14:paraId="1F2139AA" w14:textId="77777777" w:rsidR="007D2837" w:rsidRPr="00881FE5" w:rsidRDefault="007D2837" w:rsidP="0033231E">
      <w:pPr>
        <w:jc w:val="left"/>
      </w:pPr>
      <w:r w:rsidRPr="00881FE5">
        <w:t>The rel-19 study on AIML mobility was concluded in RAN2-131 and the agreements are captured in TR 38.744 [1]. Based on that study, a work item has been approved for rel-20 to specify the RRM measurement and measurement event prediction use cases, where the main RAN2 objectives of the work item for a UE sided model are [2]:</w:t>
      </w:r>
    </w:p>
    <w:p w14:paraId="58ADF6D6" w14:textId="77777777" w:rsidR="007D2837" w:rsidRPr="00881FE5" w:rsidRDefault="007D2837" w:rsidP="0033231E">
      <w:pPr>
        <w:numPr>
          <w:ilvl w:val="0"/>
          <w:numId w:val="24"/>
        </w:numPr>
        <w:jc w:val="left"/>
        <w:rPr>
          <w:bCs/>
          <w:i/>
          <w:iCs/>
        </w:rPr>
      </w:pPr>
      <w:r w:rsidRPr="00881FE5">
        <w:rPr>
          <w:bCs/>
          <w:i/>
          <w:iCs/>
        </w:rPr>
        <w:t>Specify support for RRM measurement prediction</w:t>
      </w:r>
      <w:r w:rsidRPr="00881FE5">
        <w:rPr>
          <w:rFonts w:hint="eastAsia"/>
          <w:bCs/>
          <w:i/>
          <w:iCs/>
        </w:rPr>
        <w:t xml:space="preserve"> and measurement event prediction</w:t>
      </w:r>
      <w:r w:rsidRPr="00881FE5">
        <w:rPr>
          <w:bCs/>
          <w:i/>
          <w:iCs/>
        </w:rPr>
        <w:t xml:space="preserve"> for UE sided models [RAN2]:</w:t>
      </w:r>
    </w:p>
    <w:p w14:paraId="24E365E8" w14:textId="77777777" w:rsidR="007D2837" w:rsidRPr="00881FE5" w:rsidRDefault="007D2837" w:rsidP="0033231E">
      <w:pPr>
        <w:numPr>
          <w:ilvl w:val="0"/>
          <w:numId w:val="25"/>
        </w:numPr>
        <w:jc w:val="left"/>
        <w:rPr>
          <w:bCs/>
          <w:i/>
          <w:iCs/>
        </w:rPr>
      </w:pPr>
      <w:bookmarkStart w:id="0" w:name="_Hlk213098326"/>
      <w:r w:rsidRPr="00881FE5">
        <w:rPr>
          <w:bCs/>
          <w:i/>
          <w:iCs/>
        </w:rPr>
        <w:t>Temporal domain prediction</w:t>
      </w:r>
      <w:r w:rsidRPr="00881FE5">
        <w:rPr>
          <w:rFonts w:hint="eastAsia"/>
          <w:bCs/>
          <w:i/>
          <w:iCs/>
        </w:rPr>
        <w:t xml:space="preserve"> case A and case B, </w:t>
      </w:r>
      <w:r w:rsidRPr="00881FE5">
        <w:rPr>
          <w:bCs/>
          <w:i/>
          <w:iCs/>
        </w:rPr>
        <w:t>and Frequency domain prediction</w:t>
      </w:r>
      <w:r w:rsidRPr="00881FE5">
        <w:rPr>
          <w:rFonts w:hint="eastAsia"/>
          <w:bCs/>
          <w:i/>
          <w:iCs/>
        </w:rPr>
        <w:t xml:space="preserve"> for co-located cases are supported</w:t>
      </w:r>
      <w:r w:rsidRPr="00881FE5">
        <w:rPr>
          <w:bCs/>
          <w:i/>
          <w:iCs/>
        </w:rPr>
        <w:t>.</w:t>
      </w:r>
      <w:r w:rsidRPr="00881FE5">
        <w:rPr>
          <w:rFonts w:hint="eastAsia"/>
          <w:bCs/>
          <w:i/>
          <w:iCs/>
        </w:rPr>
        <w:t xml:space="preserve"> </w:t>
      </w:r>
    </w:p>
    <w:bookmarkEnd w:id="0"/>
    <w:p w14:paraId="42C939EA" w14:textId="77777777" w:rsidR="007D2837" w:rsidRPr="00881FE5" w:rsidRDefault="007D2837" w:rsidP="0033231E">
      <w:pPr>
        <w:numPr>
          <w:ilvl w:val="0"/>
          <w:numId w:val="25"/>
        </w:numPr>
        <w:jc w:val="left"/>
        <w:rPr>
          <w:bCs/>
          <w:i/>
          <w:iCs/>
        </w:rPr>
      </w:pPr>
      <w:r w:rsidRPr="00881FE5">
        <w:rPr>
          <w:rFonts w:hint="eastAsia"/>
          <w:bCs/>
          <w:i/>
          <w:iCs/>
        </w:rPr>
        <w:t xml:space="preserve">L3 </w:t>
      </w:r>
      <w:r w:rsidRPr="00881FE5">
        <w:rPr>
          <w:bCs/>
          <w:i/>
          <w:iCs/>
        </w:rPr>
        <w:t>Cell level prediction</w:t>
      </w:r>
      <w:r w:rsidRPr="00881FE5">
        <w:rPr>
          <w:rFonts w:hint="eastAsia"/>
          <w:bCs/>
          <w:i/>
          <w:iCs/>
        </w:rPr>
        <w:t xml:space="preserve"> is supported </w:t>
      </w:r>
    </w:p>
    <w:p w14:paraId="3CBFAE89" w14:textId="77777777" w:rsidR="007D2837" w:rsidRPr="00881FE5" w:rsidRDefault="007D2837" w:rsidP="0033231E">
      <w:pPr>
        <w:ind w:left="567" w:firstLine="567"/>
        <w:jc w:val="left"/>
        <w:rPr>
          <w:bCs/>
          <w:i/>
          <w:iCs/>
        </w:rPr>
      </w:pPr>
      <w:bookmarkStart w:id="1" w:name="OLE_LINK12"/>
      <w:bookmarkStart w:id="2" w:name="OLE_LINK13"/>
      <w:r w:rsidRPr="00881FE5">
        <w:rPr>
          <w:bCs/>
          <w:i/>
          <w:iCs/>
        </w:rPr>
        <w:t>Note 1: For UE sided model, spatial domain</w:t>
      </w:r>
      <w:r w:rsidRPr="00881FE5">
        <w:rPr>
          <w:rFonts w:hint="eastAsia"/>
          <w:bCs/>
          <w:i/>
          <w:iCs/>
        </w:rPr>
        <w:t xml:space="preserve"> prediction</w:t>
      </w:r>
      <w:r w:rsidRPr="00881FE5">
        <w:rPr>
          <w:bCs/>
          <w:i/>
          <w:iCs/>
        </w:rPr>
        <w:t xml:space="preserve"> is not supported.</w:t>
      </w:r>
    </w:p>
    <w:p w14:paraId="20978029" w14:textId="77777777" w:rsidR="007D2837" w:rsidRPr="00881FE5" w:rsidRDefault="007D2837" w:rsidP="0033231E">
      <w:pPr>
        <w:ind w:left="513" w:firstLine="567"/>
        <w:jc w:val="left"/>
        <w:rPr>
          <w:bCs/>
          <w:i/>
          <w:iCs/>
        </w:rPr>
      </w:pPr>
      <w:r w:rsidRPr="00881FE5">
        <w:rPr>
          <w:rFonts w:hint="eastAsia"/>
          <w:bCs/>
          <w:i/>
          <w:iCs/>
        </w:rPr>
        <w:t>Note 2: For UE sided model, L3 beam level prediction is not supported.</w:t>
      </w:r>
    </w:p>
    <w:bookmarkEnd w:id="1"/>
    <w:bookmarkEnd w:id="2"/>
    <w:p w14:paraId="6F1C55D2" w14:textId="77777777" w:rsidR="007D2837" w:rsidRPr="00881FE5" w:rsidRDefault="007D2837" w:rsidP="0033231E">
      <w:pPr>
        <w:numPr>
          <w:ilvl w:val="0"/>
          <w:numId w:val="24"/>
        </w:numPr>
        <w:tabs>
          <w:tab w:val="num" w:pos="1440"/>
        </w:tabs>
        <w:jc w:val="left"/>
        <w:rPr>
          <w:bCs/>
          <w:i/>
          <w:iCs/>
        </w:rPr>
      </w:pPr>
      <w:r w:rsidRPr="00881FE5">
        <w:rPr>
          <w:bCs/>
          <w:i/>
          <w:iCs/>
        </w:rPr>
        <w:t xml:space="preserve">For both RRM measurement prediction and measurement event prediction, specify signalling and protocol aspects to enable LCM functionality management for UE sided </w:t>
      </w:r>
      <w:r w:rsidRPr="00881FE5">
        <w:rPr>
          <w:rFonts w:hint="eastAsia"/>
          <w:bCs/>
          <w:i/>
          <w:iCs/>
        </w:rPr>
        <w:t>model</w:t>
      </w:r>
      <w:r w:rsidRPr="00881FE5">
        <w:rPr>
          <w:bCs/>
          <w:i/>
          <w:iCs/>
        </w:rPr>
        <w:t xml:space="preserve"> including [RAN2]:</w:t>
      </w:r>
    </w:p>
    <w:p w14:paraId="2D154A95" w14:textId="77777777" w:rsidR="007D2837" w:rsidRPr="00881FE5" w:rsidRDefault="007D2837" w:rsidP="0033231E">
      <w:pPr>
        <w:numPr>
          <w:ilvl w:val="0"/>
          <w:numId w:val="25"/>
        </w:numPr>
        <w:jc w:val="left"/>
        <w:rPr>
          <w:bCs/>
          <w:i/>
          <w:iCs/>
        </w:rPr>
      </w:pPr>
      <w:r w:rsidRPr="00881FE5">
        <w:rPr>
          <w:rFonts w:hint="eastAsia"/>
          <w:bCs/>
          <w:i/>
          <w:iCs/>
        </w:rPr>
        <w:t>UE capability request and response procedure</w:t>
      </w:r>
    </w:p>
    <w:p w14:paraId="24DB022F" w14:textId="77777777" w:rsidR="007D2837" w:rsidRPr="00881FE5" w:rsidRDefault="007D2837" w:rsidP="0033231E">
      <w:pPr>
        <w:numPr>
          <w:ilvl w:val="0"/>
          <w:numId w:val="25"/>
        </w:numPr>
        <w:jc w:val="left"/>
        <w:rPr>
          <w:bCs/>
          <w:i/>
          <w:iCs/>
        </w:rPr>
      </w:pPr>
      <w:r w:rsidRPr="00881FE5">
        <w:rPr>
          <w:rFonts w:hint="eastAsia"/>
          <w:bCs/>
          <w:i/>
          <w:iCs/>
        </w:rPr>
        <w:t xml:space="preserve">Applicability report for both full and partial configuration approach </w:t>
      </w:r>
    </w:p>
    <w:p w14:paraId="00EF8691" w14:textId="77777777" w:rsidR="007D2837" w:rsidRPr="00881FE5" w:rsidRDefault="007D2837" w:rsidP="0033231E">
      <w:pPr>
        <w:numPr>
          <w:ilvl w:val="0"/>
          <w:numId w:val="25"/>
        </w:numPr>
        <w:jc w:val="left"/>
        <w:rPr>
          <w:bCs/>
          <w:i/>
          <w:iCs/>
        </w:rPr>
      </w:pPr>
      <w:r w:rsidRPr="00881FE5">
        <w:rPr>
          <w:rFonts w:hint="eastAsia"/>
          <w:bCs/>
          <w:i/>
          <w:iCs/>
        </w:rPr>
        <w:t>Inference configuration and inference report</w:t>
      </w:r>
    </w:p>
    <w:p w14:paraId="000A12B7" w14:textId="77777777" w:rsidR="007D2837" w:rsidRPr="00881FE5" w:rsidRDefault="007D2837" w:rsidP="0033231E">
      <w:pPr>
        <w:numPr>
          <w:ilvl w:val="0"/>
          <w:numId w:val="25"/>
        </w:numPr>
        <w:jc w:val="left"/>
        <w:rPr>
          <w:bCs/>
          <w:i/>
          <w:iCs/>
        </w:rPr>
      </w:pPr>
      <w:r w:rsidRPr="00881FE5">
        <w:rPr>
          <w:rFonts w:hint="eastAsia"/>
          <w:bCs/>
          <w:i/>
          <w:iCs/>
        </w:rPr>
        <w:t>Performance monitoring performed in UE or network side, based on which network can manage UE sided functionality</w:t>
      </w:r>
    </w:p>
    <w:p w14:paraId="1D7CA623" w14:textId="77777777" w:rsidR="007D2837" w:rsidRPr="00881FE5" w:rsidRDefault="007D2837" w:rsidP="0033231E">
      <w:pPr>
        <w:numPr>
          <w:ilvl w:val="0"/>
          <w:numId w:val="25"/>
        </w:numPr>
        <w:jc w:val="left"/>
        <w:rPr>
          <w:bCs/>
          <w:i/>
          <w:iCs/>
        </w:rPr>
      </w:pPr>
      <w:r w:rsidRPr="00881FE5">
        <w:rPr>
          <w:bCs/>
          <w:i/>
          <w:iCs/>
        </w:rPr>
        <w:t>UE sided data collection</w:t>
      </w:r>
    </w:p>
    <w:p w14:paraId="51FE5FC5" w14:textId="77777777" w:rsidR="007D2837" w:rsidRPr="00881FE5" w:rsidRDefault="007D2837" w:rsidP="0033231E">
      <w:pPr>
        <w:numPr>
          <w:ilvl w:val="0"/>
          <w:numId w:val="25"/>
        </w:numPr>
        <w:jc w:val="left"/>
        <w:rPr>
          <w:bCs/>
          <w:i/>
          <w:iCs/>
        </w:rPr>
      </w:pPr>
      <w:r w:rsidRPr="00881FE5">
        <w:rPr>
          <w:rFonts w:hint="eastAsia"/>
          <w:bCs/>
          <w:i/>
          <w:iCs/>
        </w:rPr>
        <w:t>For measurement event prediction:</w:t>
      </w:r>
    </w:p>
    <w:p w14:paraId="26ACEE22" w14:textId="77777777" w:rsidR="007D2837" w:rsidRPr="00881FE5" w:rsidRDefault="007D2837" w:rsidP="0033231E">
      <w:pPr>
        <w:numPr>
          <w:ilvl w:val="1"/>
          <w:numId w:val="25"/>
        </w:numPr>
        <w:jc w:val="left"/>
        <w:rPr>
          <w:bCs/>
          <w:i/>
          <w:iCs/>
        </w:rPr>
      </w:pPr>
      <w:r w:rsidRPr="00881FE5">
        <w:rPr>
          <w:bCs/>
          <w:i/>
          <w:iCs/>
        </w:rPr>
        <w:t>Measurement event A1~A6 are in the scope in this release</w:t>
      </w:r>
    </w:p>
    <w:p w14:paraId="53385D2D" w14:textId="77777777" w:rsidR="007D2837" w:rsidRPr="00881FE5" w:rsidRDefault="007D2837" w:rsidP="0033231E">
      <w:pPr>
        <w:ind w:left="1170"/>
        <w:jc w:val="left"/>
        <w:rPr>
          <w:bCs/>
          <w:i/>
          <w:iCs/>
        </w:rPr>
      </w:pPr>
      <w:r w:rsidRPr="00881FE5">
        <w:rPr>
          <w:rFonts w:hint="eastAsia"/>
          <w:bCs/>
          <w:i/>
          <w:iCs/>
        </w:rPr>
        <w:t>Note3: Data transfer and model delivery for UE sided model are out of scope of this WI.</w:t>
      </w:r>
      <w:r w:rsidRPr="00881FE5">
        <w:rPr>
          <w:bCs/>
          <w:i/>
          <w:iCs/>
        </w:rPr>
        <w:t xml:space="preserve"> </w:t>
      </w:r>
      <w:r w:rsidRPr="00881FE5">
        <w:rPr>
          <w:rFonts w:hint="eastAsia"/>
          <w:bCs/>
          <w:i/>
          <w:iCs/>
        </w:rPr>
        <w:t>And</w:t>
      </w:r>
      <w:r w:rsidRPr="00881FE5">
        <w:rPr>
          <w:bCs/>
          <w:i/>
          <w:iCs/>
        </w:rPr>
        <w:t xml:space="preserve"> model related choices can be up to UE’s implementation</w:t>
      </w:r>
      <w:r w:rsidRPr="00881FE5">
        <w:rPr>
          <w:rFonts w:hint="eastAsia"/>
          <w:bCs/>
          <w:i/>
          <w:iCs/>
        </w:rPr>
        <w:t>.</w:t>
      </w:r>
      <w:r w:rsidRPr="00881FE5">
        <w:rPr>
          <w:bCs/>
          <w:i/>
          <w:iCs/>
        </w:rPr>
        <w:t xml:space="preserve"> </w:t>
      </w:r>
    </w:p>
    <w:p w14:paraId="70EB8099" w14:textId="002187DC" w:rsidR="002624F9" w:rsidRPr="00881FE5" w:rsidRDefault="007D2837" w:rsidP="0033231E">
      <w:pPr>
        <w:jc w:val="left"/>
      </w:pPr>
      <w:r w:rsidRPr="00881FE5">
        <w:t xml:space="preserve">In this contribution, we discuss LCM and functionality management aspects for a UE-side model for RRM measurement </w:t>
      </w:r>
      <w:r w:rsidR="009340DD" w:rsidRPr="00881FE5">
        <w:t xml:space="preserve">event </w:t>
      </w:r>
      <w:r w:rsidRPr="00881FE5">
        <w:t>prediction.</w:t>
      </w:r>
      <w:r w:rsidR="003254BB">
        <w:t xml:space="preserve"> </w:t>
      </w:r>
      <w:r w:rsidR="003C34C9">
        <w:t xml:space="preserve">The focus here will be indirect measurement event prediction as </w:t>
      </w:r>
      <w:r w:rsidR="009825CA">
        <w:t xml:space="preserve">the support of direct measurement event prediction is </w:t>
      </w:r>
      <w:r w:rsidR="007770E1">
        <w:t xml:space="preserve">still not agreed and is expected </w:t>
      </w:r>
      <w:r w:rsidR="00942EF5">
        <w:t xml:space="preserve">to be decided </w:t>
      </w:r>
      <w:r w:rsidR="002669F6">
        <w:t xml:space="preserve">after </w:t>
      </w:r>
      <w:r w:rsidR="004B3D10">
        <w:t xml:space="preserve">feasibility of core requirements has been studied in RAN4 [2]. </w:t>
      </w:r>
    </w:p>
    <w:p w14:paraId="77B7883D" w14:textId="77777777" w:rsidR="002765E0" w:rsidRPr="00881FE5" w:rsidRDefault="002765E0" w:rsidP="0033231E">
      <w:pPr>
        <w:pStyle w:val="Heading1"/>
      </w:pPr>
      <w:r w:rsidRPr="00881FE5">
        <w:rPr>
          <w:sz w:val="32"/>
          <w:szCs w:val="32"/>
        </w:rPr>
        <w:t xml:space="preserve">2. </w:t>
      </w:r>
      <w:r w:rsidRPr="00881FE5">
        <w:t>Discussion</w:t>
      </w:r>
    </w:p>
    <w:p w14:paraId="5A879909" w14:textId="27E33F06" w:rsidR="004B19C5" w:rsidRPr="00881FE5" w:rsidRDefault="001D1C5A" w:rsidP="0033231E">
      <w:pPr>
        <w:pStyle w:val="Heading2"/>
      </w:pPr>
      <w:r w:rsidRPr="00881FE5">
        <w:rPr>
          <w:sz w:val="28"/>
          <w:szCs w:val="28"/>
        </w:rPr>
        <w:t>2.1 Adopting Rel-19 agreements in AIML PHY</w:t>
      </w:r>
    </w:p>
    <w:p w14:paraId="1F06D78C" w14:textId="2F3F8930" w:rsidR="004B19C5" w:rsidRPr="002E4FA2" w:rsidRDefault="004B19C5" w:rsidP="0033231E">
      <w:pPr>
        <w:jc w:val="left"/>
        <w:rPr>
          <w:rFonts w:ascii="Times New Roman" w:hAnsi="Times New Roman"/>
          <w:sz w:val="22"/>
          <w:szCs w:val="22"/>
        </w:rPr>
      </w:pPr>
      <w:r w:rsidRPr="002E4FA2">
        <w:rPr>
          <w:rFonts w:ascii="Times New Roman" w:hAnsi="Times New Roman"/>
          <w:sz w:val="22"/>
          <w:szCs w:val="22"/>
        </w:rPr>
        <w:t xml:space="preserve">Most of the LCM and related signalling discussions and agreements for AIML mobility during the study item phase in rel-19 used the AIML BM use case as a baseline (e.g., capability reporting, applicability </w:t>
      </w:r>
      <w:r w:rsidRPr="002E4FA2">
        <w:rPr>
          <w:rFonts w:ascii="Times New Roman" w:hAnsi="Times New Roman"/>
          <w:sz w:val="22"/>
          <w:szCs w:val="22"/>
        </w:rPr>
        <w:lastRenderedPageBreak/>
        <w:t>determination and reporting, etc.,), as captured in the TR [1]. Additionally, the specification of the rel-19 work on AIML BM has also been finalized, with a few ASN.1 corrections left to be made (e.g., 38.300 corrections [3]). Considering that, we don’t think it is necessary to re-open the discussion for all the individual stage 2 aspects of AIML mobility.</w:t>
      </w:r>
    </w:p>
    <w:p w14:paraId="6487D133" w14:textId="77777777" w:rsidR="004B19C5" w:rsidRPr="002E4FA2" w:rsidRDefault="004B19C5" w:rsidP="0033231E">
      <w:pPr>
        <w:tabs>
          <w:tab w:val="left" w:pos="1377"/>
        </w:tabs>
        <w:ind w:left="1354" w:hanging="1354"/>
        <w:jc w:val="left"/>
        <w:rPr>
          <w:rFonts w:ascii="Times New Roman" w:hAnsi="Times New Roman"/>
          <w:bCs/>
          <w:i/>
          <w:iCs/>
          <w:sz w:val="22"/>
          <w:szCs w:val="22"/>
        </w:rPr>
      </w:pPr>
      <w:r w:rsidRPr="002E4FA2">
        <w:rPr>
          <w:rFonts w:ascii="Times New Roman" w:hAnsi="Times New Roman"/>
          <w:b/>
          <w:sz w:val="22"/>
          <w:szCs w:val="22"/>
        </w:rPr>
        <w:t>Observation 1:</w:t>
      </w:r>
      <w:r w:rsidRPr="002E4FA2">
        <w:rPr>
          <w:rFonts w:ascii="Times New Roman" w:hAnsi="Times New Roman"/>
          <w:bCs/>
          <w:i/>
          <w:iCs/>
          <w:sz w:val="22"/>
          <w:szCs w:val="22"/>
        </w:rPr>
        <w:t xml:space="preserve"> The LCM and related signalling discussions and agreements for the AIML mobility study in rel-19 study were based on the AIML BM use case.</w:t>
      </w:r>
    </w:p>
    <w:p w14:paraId="49718C56" w14:textId="77777777" w:rsidR="004B19C5" w:rsidRPr="002E4FA2" w:rsidRDefault="004B19C5" w:rsidP="0033231E">
      <w:pPr>
        <w:tabs>
          <w:tab w:val="left" w:pos="1377"/>
        </w:tabs>
        <w:ind w:left="1354" w:hanging="1354"/>
        <w:jc w:val="left"/>
        <w:rPr>
          <w:rFonts w:ascii="Times New Roman" w:hAnsi="Times New Roman"/>
          <w:bCs/>
          <w:i/>
          <w:iCs/>
          <w:sz w:val="22"/>
          <w:szCs w:val="22"/>
        </w:rPr>
      </w:pPr>
      <w:r w:rsidRPr="002E4FA2">
        <w:rPr>
          <w:rFonts w:ascii="Times New Roman" w:hAnsi="Times New Roman"/>
          <w:b/>
          <w:sz w:val="22"/>
          <w:szCs w:val="22"/>
        </w:rPr>
        <w:t>Observation 2:</w:t>
      </w:r>
      <w:r w:rsidRPr="002E4FA2">
        <w:rPr>
          <w:rFonts w:ascii="Times New Roman" w:hAnsi="Times New Roman"/>
          <w:bCs/>
          <w:i/>
          <w:iCs/>
          <w:sz w:val="22"/>
          <w:szCs w:val="22"/>
        </w:rPr>
        <w:t xml:space="preserve"> The rel-19 specification work on AIML BM use case has been finalized (with few ASN.1 corrections pending).</w:t>
      </w:r>
    </w:p>
    <w:p w14:paraId="24218DEB" w14:textId="77777777" w:rsidR="004B19C5" w:rsidRPr="002E4FA2" w:rsidRDefault="004B19C5" w:rsidP="0033231E">
      <w:pPr>
        <w:tabs>
          <w:tab w:val="left" w:pos="1377"/>
        </w:tabs>
        <w:ind w:left="1354" w:hanging="1354"/>
        <w:jc w:val="left"/>
        <w:rPr>
          <w:rFonts w:ascii="Times New Roman" w:hAnsi="Times New Roman"/>
          <w:bCs/>
          <w:i/>
          <w:iCs/>
          <w:sz w:val="22"/>
          <w:szCs w:val="22"/>
        </w:rPr>
      </w:pPr>
      <w:r w:rsidRPr="002E4FA2">
        <w:rPr>
          <w:rFonts w:ascii="Times New Roman" w:hAnsi="Times New Roman"/>
          <w:b/>
          <w:sz w:val="22"/>
          <w:szCs w:val="22"/>
        </w:rPr>
        <w:t>Observation 3:</w:t>
      </w:r>
      <w:r w:rsidRPr="002E4FA2">
        <w:rPr>
          <w:rFonts w:ascii="Times New Roman" w:hAnsi="Times New Roman"/>
          <w:bCs/>
          <w:i/>
          <w:iCs/>
          <w:sz w:val="22"/>
          <w:szCs w:val="22"/>
        </w:rPr>
        <w:t xml:space="preserve"> RAN2 should not discuss and re-confirm each agreement that was made during the AIML mobility study during rel-19.</w:t>
      </w:r>
    </w:p>
    <w:p w14:paraId="364E3F92" w14:textId="77777777" w:rsidR="004B19C5" w:rsidRPr="002E4FA2" w:rsidRDefault="004B19C5" w:rsidP="0033231E">
      <w:pPr>
        <w:jc w:val="left"/>
        <w:rPr>
          <w:rFonts w:ascii="Times New Roman" w:hAnsi="Times New Roman"/>
          <w:sz w:val="22"/>
          <w:szCs w:val="22"/>
        </w:rPr>
      </w:pPr>
      <w:r w:rsidRPr="002E4FA2">
        <w:rPr>
          <w:rFonts w:ascii="Times New Roman" w:hAnsi="Times New Roman"/>
          <w:sz w:val="22"/>
          <w:szCs w:val="22"/>
        </w:rPr>
        <w:t>Thus, the LCM and related signalling discussions in RAN2 should focus on identifying the aspects that can be directly adopted from the BM specifications and those that need further discussion. Thus, we propose:</w:t>
      </w:r>
    </w:p>
    <w:p w14:paraId="30113ABB" w14:textId="77777777" w:rsidR="00B32B99" w:rsidRPr="002E4FA2" w:rsidRDefault="00B32B99" w:rsidP="0033231E">
      <w:pPr>
        <w:tabs>
          <w:tab w:val="left" w:pos="1377"/>
        </w:tabs>
        <w:ind w:left="1170" w:hanging="1170"/>
        <w:jc w:val="left"/>
        <w:rPr>
          <w:rFonts w:ascii="Times New Roman" w:hAnsi="Times New Roman"/>
          <w:b/>
          <w:sz w:val="22"/>
          <w:szCs w:val="22"/>
          <w:u w:val="single"/>
        </w:rPr>
      </w:pPr>
    </w:p>
    <w:p w14:paraId="0751F2CD" w14:textId="09F250C5" w:rsidR="004B19C5" w:rsidRPr="002E4FA2" w:rsidRDefault="004B19C5" w:rsidP="0033231E">
      <w:pPr>
        <w:tabs>
          <w:tab w:val="left" w:pos="1377"/>
        </w:tabs>
        <w:ind w:left="1170" w:hanging="1170"/>
        <w:jc w:val="left"/>
        <w:rPr>
          <w:rFonts w:ascii="Times New Roman" w:hAnsi="Times New Roman"/>
          <w:b/>
          <w:i/>
          <w:iCs/>
          <w:sz w:val="22"/>
          <w:szCs w:val="22"/>
        </w:rPr>
      </w:pPr>
      <w:r w:rsidRPr="002E4FA2">
        <w:rPr>
          <w:rFonts w:ascii="Times New Roman" w:hAnsi="Times New Roman"/>
          <w:b/>
          <w:sz w:val="22"/>
          <w:szCs w:val="22"/>
          <w:u w:val="single"/>
        </w:rPr>
        <w:t>Proposal 1:</w:t>
      </w:r>
      <w:r w:rsidRPr="002E4FA2">
        <w:rPr>
          <w:rFonts w:ascii="Times New Roman" w:hAnsi="Times New Roman"/>
          <w:b/>
          <w:sz w:val="22"/>
          <w:szCs w:val="22"/>
        </w:rPr>
        <w:t xml:space="preserve"> </w:t>
      </w:r>
      <w:r w:rsidRPr="002E4FA2">
        <w:rPr>
          <w:rFonts w:ascii="Times New Roman" w:hAnsi="Times New Roman"/>
          <w:b/>
          <w:i/>
          <w:iCs/>
          <w:sz w:val="22"/>
          <w:szCs w:val="22"/>
        </w:rPr>
        <w:t>Rel-20 discussion on LCM and signalling for AIML mobility should start by identifying the aspects of rel-19 AIML BM use case that can be adopted as is and those that require further discussion.</w:t>
      </w:r>
    </w:p>
    <w:p w14:paraId="6850EFD4" w14:textId="77777777" w:rsidR="001553BC" w:rsidRDefault="001553BC" w:rsidP="0033231E">
      <w:pPr>
        <w:jc w:val="left"/>
        <w:rPr>
          <w:rFonts w:ascii="Times New Roman" w:hAnsi="Times New Roman"/>
          <w:sz w:val="22"/>
          <w:szCs w:val="22"/>
        </w:rPr>
      </w:pPr>
    </w:p>
    <w:p w14:paraId="3AA60842" w14:textId="240B8097" w:rsidR="004B19C5" w:rsidRPr="002E4FA2" w:rsidRDefault="004B19C5" w:rsidP="0033231E">
      <w:pPr>
        <w:jc w:val="left"/>
        <w:rPr>
          <w:rFonts w:ascii="Times New Roman" w:hAnsi="Times New Roman"/>
          <w:sz w:val="22"/>
          <w:szCs w:val="22"/>
        </w:rPr>
      </w:pPr>
      <w:r w:rsidRPr="002E4FA2">
        <w:rPr>
          <w:rFonts w:ascii="Times New Roman" w:hAnsi="Times New Roman"/>
          <w:sz w:val="22"/>
          <w:szCs w:val="22"/>
        </w:rPr>
        <w:t xml:space="preserve">The applicability determination and reporting for AIML BM case have been specified in rel-19. We have listed below the stage-2 description from the latest rel-19 38.300 [3], where we have marked the items that can be directly adopted for the AIML mobility use case in </w:t>
      </w:r>
      <w:r w:rsidRPr="002E4FA2">
        <w:rPr>
          <w:rFonts w:ascii="Times New Roman" w:hAnsi="Times New Roman"/>
          <w:sz w:val="22"/>
          <w:szCs w:val="22"/>
          <w:highlight w:val="green"/>
        </w:rPr>
        <w:t>green</w:t>
      </w:r>
      <w:r w:rsidRPr="002E4FA2">
        <w:rPr>
          <w:rFonts w:ascii="Times New Roman" w:hAnsi="Times New Roman"/>
          <w:sz w:val="22"/>
          <w:szCs w:val="22"/>
        </w:rPr>
        <w:t xml:space="preserve"> and the ones that need discussion/update or are not applicable for the AIML mobility use case in </w:t>
      </w:r>
      <w:r w:rsidRPr="002E4FA2">
        <w:rPr>
          <w:rFonts w:ascii="Times New Roman" w:hAnsi="Times New Roman"/>
          <w:sz w:val="22"/>
          <w:szCs w:val="22"/>
          <w:highlight w:val="red"/>
        </w:rPr>
        <w:t>red</w:t>
      </w:r>
      <w:r w:rsidRPr="002E4FA2">
        <w:rPr>
          <w:rFonts w:ascii="Times New Roman" w:hAnsi="Times New Roman"/>
          <w:sz w:val="22"/>
          <w:szCs w:val="22"/>
        </w:rPr>
        <w:t xml:space="preserve"> (i.e. aspects that are specific to AIML BM such as CSI configuration, CSI reporting activation/deactivation, etc.):</w:t>
      </w:r>
    </w:p>
    <w:p w14:paraId="0E979E53"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rPr>
        <w:t>22.2.3</w:t>
      </w:r>
      <w:r w:rsidRPr="002E4FA2">
        <w:rPr>
          <w:rFonts w:ascii="Times New Roman" w:hAnsi="Times New Roman"/>
          <w:sz w:val="22"/>
          <w:szCs w:val="22"/>
        </w:rPr>
        <w:tab/>
        <w:t xml:space="preserve"> Applicability Reporting</w:t>
      </w:r>
    </w:p>
    <w:p w14:paraId="69A1A187"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t>For UE-side model, the network provides inference configuration or inference-related parameters based on UE supported functionalities. The UE reports its applicable functionalities, inapplicable functionalities with its preference to release the configuration and subsequent changes of applicability status of functionalities to network. The basic procedure of applicability reporting is described as in Figure 22.2.3-1.</w:t>
      </w:r>
    </w:p>
    <w:p w14:paraId="78BEADE7" w14:textId="77777777" w:rsidR="004B19C5" w:rsidRPr="002E4FA2" w:rsidRDefault="004B19C5" w:rsidP="0033231E">
      <w:pPr>
        <w:ind w:left="1134"/>
        <w:jc w:val="center"/>
        <w:rPr>
          <w:rFonts w:ascii="Times New Roman" w:hAnsi="Times New Roman"/>
          <w:b/>
          <w:sz w:val="22"/>
          <w:szCs w:val="22"/>
        </w:rPr>
      </w:pPr>
      <w:r w:rsidRPr="002E4FA2">
        <w:rPr>
          <w:rFonts w:ascii="Times New Roman" w:hAnsi="Times New Roman"/>
          <w:b/>
          <w:sz w:val="22"/>
          <w:szCs w:val="22"/>
        </w:rPr>
        <w:object w:dxaOrig="5150" w:dyaOrig="6700" w14:anchorId="3D149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35.5pt" o:ole="">
            <v:imagedata r:id="rId12" o:title=""/>
          </v:shape>
          <o:OLEObject Type="Embed" ProgID="Mscgen.Chart" ShapeID="_x0000_i1025" DrawAspect="Content" ObjectID="_1823987689" r:id="rId13"/>
        </w:object>
      </w:r>
    </w:p>
    <w:p w14:paraId="46226C68" w14:textId="77777777" w:rsidR="004B19C5" w:rsidRPr="002E4FA2" w:rsidRDefault="004B19C5" w:rsidP="000F3897">
      <w:pPr>
        <w:ind w:left="1134"/>
        <w:jc w:val="center"/>
        <w:rPr>
          <w:rFonts w:ascii="Times New Roman" w:hAnsi="Times New Roman"/>
          <w:b/>
          <w:sz w:val="22"/>
          <w:szCs w:val="22"/>
        </w:rPr>
      </w:pPr>
      <w:r w:rsidRPr="002E4FA2">
        <w:rPr>
          <w:rFonts w:ascii="Times New Roman" w:hAnsi="Times New Roman"/>
          <w:b/>
          <w:sz w:val="22"/>
          <w:szCs w:val="22"/>
        </w:rPr>
        <w:t>Figure 22.2.3-1: Initial applicability and applicability status change reporting [3]</w:t>
      </w:r>
    </w:p>
    <w:p w14:paraId="31A5A46E" w14:textId="77777777" w:rsidR="004B19C5" w:rsidRPr="002E4FA2" w:rsidRDefault="004B19C5" w:rsidP="0033231E">
      <w:pPr>
        <w:ind w:left="1134"/>
        <w:jc w:val="left"/>
        <w:rPr>
          <w:rFonts w:ascii="Times New Roman" w:hAnsi="Times New Roman"/>
          <w:sz w:val="22"/>
          <w:szCs w:val="22"/>
          <w:highlight w:val="green"/>
        </w:rPr>
      </w:pPr>
      <w:r w:rsidRPr="002E4FA2">
        <w:rPr>
          <w:rFonts w:ascii="Times New Roman" w:hAnsi="Times New Roman"/>
          <w:sz w:val="22"/>
          <w:szCs w:val="22"/>
          <w:highlight w:val="green"/>
        </w:rPr>
        <w:t>1.</w:t>
      </w:r>
      <w:r w:rsidRPr="002E4FA2">
        <w:rPr>
          <w:rFonts w:ascii="Times New Roman" w:hAnsi="Times New Roman"/>
          <w:sz w:val="22"/>
          <w:szCs w:val="22"/>
          <w:highlight w:val="green"/>
        </w:rPr>
        <w:tab/>
        <w:t>The network may inquire about the UE capability information.</w:t>
      </w:r>
    </w:p>
    <w:p w14:paraId="3AA1D0D9" w14:textId="77777777" w:rsidR="004B19C5" w:rsidRPr="002E4FA2" w:rsidRDefault="004B19C5" w:rsidP="0033231E">
      <w:pPr>
        <w:ind w:left="1134"/>
        <w:jc w:val="left"/>
        <w:rPr>
          <w:rFonts w:ascii="Times New Roman" w:hAnsi="Times New Roman"/>
          <w:sz w:val="22"/>
          <w:szCs w:val="22"/>
          <w:highlight w:val="green"/>
        </w:rPr>
      </w:pPr>
      <w:r w:rsidRPr="002E4FA2">
        <w:rPr>
          <w:rFonts w:ascii="Times New Roman" w:hAnsi="Times New Roman"/>
          <w:sz w:val="22"/>
          <w:szCs w:val="22"/>
          <w:highlight w:val="green"/>
        </w:rPr>
        <w:t>2.</w:t>
      </w:r>
      <w:r w:rsidRPr="002E4FA2">
        <w:rPr>
          <w:rFonts w:ascii="Times New Roman" w:hAnsi="Times New Roman"/>
          <w:sz w:val="22"/>
          <w:szCs w:val="22"/>
          <w:highlight w:val="green"/>
        </w:rPr>
        <w:tab/>
        <w:t xml:space="preserve">The UE may indicate its supported AI/ML functionalities to the network via </w:t>
      </w:r>
      <w:proofErr w:type="spellStart"/>
      <w:r w:rsidRPr="002E4FA2">
        <w:rPr>
          <w:rFonts w:ascii="Times New Roman" w:hAnsi="Times New Roman"/>
          <w:i/>
          <w:iCs/>
          <w:sz w:val="22"/>
          <w:szCs w:val="22"/>
          <w:highlight w:val="green"/>
        </w:rPr>
        <w:t>UECapabilityInformation</w:t>
      </w:r>
      <w:proofErr w:type="spellEnd"/>
      <w:r w:rsidRPr="002E4FA2">
        <w:rPr>
          <w:rFonts w:ascii="Times New Roman" w:hAnsi="Times New Roman"/>
          <w:sz w:val="22"/>
          <w:szCs w:val="22"/>
          <w:highlight w:val="green"/>
        </w:rPr>
        <w:t xml:space="preserve"> message.</w:t>
      </w:r>
    </w:p>
    <w:p w14:paraId="6CD5FA35"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t>3.</w:t>
      </w:r>
      <w:r w:rsidRPr="002E4FA2">
        <w:rPr>
          <w:rFonts w:ascii="Times New Roman" w:hAnsi="Times New Roman"/>
          <w:sz w:val="22"/>
          <w:szCs w:val="22"/>
          <w:highlight w:val="green"/>
        </w:rPr>
        <w:tab/>
        <w:t>The network may provide inference configuration with Network-side additional conditions (i.e., associated ID) to UE</w:t>
      </w:r>
      <w:r w:rsidRPr="002E4FA2">
        <w:rPr>
          <w:rFonts w:ascii="Times New Roman" w:hAnsi="Times New Roman"/>
          <w:sz w:val="22"/>
          <w:szCs w:val="22"/>
        </w:rPr>
        <w:t xml:space="preserve"> </w:t>
      </w:r>
      <w:r w:rsidRPr="002E4FA2">
        <w:rPr>
          <w:rFonts w:ascii="Times New Roman" w:hAnsi="Times New Roman"/>
          <w:sz w:val="22"/>
          <w:szCs w:val="22"/>
          <w:highlight w:val="red"/>
        </w:rPr>
        <w:t xml:space="preserve">via CSI report configuration </w:t>
      </w:r>
      <w:r w:rsidRPr="002E4FA2">
        <w:rPr>
          <w:rFonts w:ascii="Times New Roman" w:hAnsi="Times New Roman"/>
          <w:sz w:val="22"/>
          <w:szCs w:val="22"/>
          <w:highlight w:val="green"/>
        </w:rPr>
        <w:t>or inference related parameters configuration.</w:t>
      </w:r>
    </w:p>
    <w:p w14:paraId="67ECBA3D" w14:textId="77777777" w:rsidR="004B19C5" w:rsidRPr="002E4FA2" w:rsidRDefault="004B19C5" w:rsidP="0033231E">
      <w:pPr>
        <w:ind w:left="1134"/>
        <w:jc w:val="left"/>
        <w:rPr>
          <w:rFonts w:ascii="Times New Roman" w:hAnsi="Times New Roman"/>
          <w:sz w:val="22"/>
          <w:szCs w:val="22"/>
          <w:highlight w:val="green"/>
        </w:rPr>
      </w:pPr>
      <w:r w:rsidRPr="002E4FA2">
        <w:rPr>
          <w:rFonts w:ascii="Times New Roman" w:hAnsi="Times New Roman"/>
          <w:sz w:val="22"/>
          <w:szCs w:val="22"/>
          <w:highlight w:val="green"/>
        </w:rPr>
        <w:t>4.</w:t>
      </w:r>
      <w:r w:rsidRPr="002E4FA2">
        <w:rPr>
          <w:rFonts w:ascii="Times New Roman" w:hAnsi="Times New Roman"/>
          <w:sz w:val="22"/>
          <w:szCs w:val="22"/>
          <w:highlight w:val="green"/>
        </w:rPr>
        <w:tab/>
        <w:t>The UE determines the applicable AI/ML functionalities based on Network-side additional conditions (if provided), UE-side additional conditions (internally known by UE) and model availability in the UE.</w:t>
      </w:r>
    </w:p>
    <w:p w14:paraId="7FB1A114"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t>NOTE 1:</w:t>
      </w:r>
      <w:r w:rsidRPr="002E4FA2">
        <w:rPr>
          <w:rFonts w:ascii="Times New Roman" w:hAnsi="Times New Roman"/>
          <w:sz w:val="22"/>
          <w:szCs w:val="22"/>
          <w:highlight w:val="green"/>
        </w:rPr>
        <w:tab/>
        <w:t>If the network does not provide the associated ID, it is up to UE implementation how to determine the applicability.</w:t>
      </w:r>
    </w:p>
    <w:p w14:paraId="5C7D842F"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t>5.</w:t>
      </w:r>
      <w:r w:rsidRPr="002E4FA2">
        <w:rPr>
          <w:rFonts w:ascii="Times New Roman" w:hAnsi="Times New Roman"/>
          <w:sz w:val="22"/>
          <w:szCs w:val="22"/>
          <w:highlight w:val="green"/>
        </w:rPr>
        <w:tab/>
        <w:t xml:space="preserve">The UE reports its functionality applicability in </w:t>
      </w:r>
      <w:r w:rsidRPr="002E4FA2">
        <w:rPr>
          <w:rFonts w:ascii="Times New Roman" w:hAnsi="Times New Roman"/>
          <w:i/>
          <w:iCs/>
          <w:sz w:val="22"/>
          <w:szCs w:val="22"/>
          <w:highlight w:val="green"/>
        </w:rPr>
        <w:t>RRCReconfigurationComplete</w:t>
      </w:r>
      <w:r w:rsidRPr="002E4FA2">
        <w:rPr>
          <w:rFonts w:ascii="Times New Roman" w:hAnsi="Times New Roman"/>
          <w:sz w:val="22"/>
          <w:szCs w:val="22"/>
          <w:highlight w:val="green"/>
        </w:rPr>
        <w:t xml:space="preserve"> message.</w:t>
      </w:r>
    </w:p>
    <w:p w14:paraId="5644EC18"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red"/>
        </w:rPr>
        <w:t>6.</w:t>
      </w:r>
      <w:r w:rsidRPr="002E4FA2">
        <w:rPr>
          <w:rFonts w:ascii="Times New Roman" w:hAnsi="Times New Roman"/>
          <w:sz w:val="22"/>
          <w:szCs w:val="22"/>
          <w:highlight w:val="red"/>
        </w:rPr>
        <w:tab/>
        <w:t>When the inference configuration consists of periodic CSI report configuration, upon reporting the applicable functionalities, the UE autonomously activates the applicable AI/ML functionalities. When the inference configuration consists of semi-persistent CSI reporting and/or aperiodic CSI report configuration, upon reporting the applicable AI/ML functionalities, applicable AI/ML functionality can be activated by MAC CE/DCI and aperiodic CSI reporting can be activated by DCI.</w:t>
      </w:r>
    </w:p>
    <w:p w14:paraId="2D223993"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t>7.</w:t>
      </w:r>
      <w:r w:rsidRPr="002E4FA2">
        <w:rPr>
          <w:rFonts w:ascii="Times New Roman" w:hAnsi="Times New Roman"/>
          <w:sz w:val="22"/>
          <w:szCs w:val="22"/>
          <w:highlight w:val="green"/>
        </w:rPr>
        <w:tab/>
        <w:t xml:space="preserve">When applicability of the functionality changes, the UE can report updated functionality applicability status in </w:t>
      </w:r>
      <w:proofErr w:type="spellStart"/>
      <w:r w:rsidRPr="002E4FA2">
        <w:rPr>
          <w:rFonts w:ascii="Times New Roman" w:hAnsi="Times New Roman"/>
          <w:i/>
          <w:iCs/>
          <w:sz w:val="22"/>
          <w:szCs w:val="22"/>
          <w:highlight w:val="green"/>
        </w:rPr>
        <w:t>UEAssistanceInformation</w:t>
      </w:r>
      <w:proofErr w:type="spellEnd"/>
      <w:r w:rsidRPr="002E4FA2">
        <w:rPr>
          <w:rFonts w:ascii="Times New Roman" w:hAnsi="Times New Roman"/>
          <w:sz w:val="22"/>
          <w:szCs w:val="22"/>
          <w:highlight w:val="green"/>
        </w:rPr>
        <w:t xml:space="preserve"> message. When an activated AI/ML functionality becomes inapplicable, the UE does not autonomously deactivate it, but the UE indicates to the network the change in the applicability. Upon reception of UE indication of the functionality becoming inapplicable, the network should deactivate or release this activated functionality.</w:t>
      </w:r>
    </w:p>
    <w:p w14:paraId="1507829D"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lastRenderedPageBreak/>
        <w:t>NOTE 2:</w:t>
      </w:r>
      <w:r w:rsidRPr="002E4FA2">
        <w:rPr>
          <w:rFonts w:ascii="Times New Roman" w:hAnsi="Times New Roman"/>
          <w:sz w:val="22"/>
          <w:szCs w:val="22"/>
          <w:highlight w:val="green"/>
        </w:rPr>
        <w:tab/>
        <w:t>Upon receiving one or more inference configuration(s), UE maintains all the inference configuration(s) no matter the inference configuration is applicable or inapplicable until the network releases it.</w:t>
      </w:r>
    </w:p>
    <w:p w14:paraId="5C2A7C14"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t>During handover, the UE may receive the inference configuration related to the target gNB via handover command. Then the UE reports its applicable/inapplicable AI/ML functionalities to the target gNB after the handover completion.</w:t>
      </w:r>
    </w:p>
    <w:p w14:paraId="64E6EA33" w14:textId="77777777" w:rsidR="004B19C5" w:rsidRPr="002E4FA2" w:rsidRDefault="004B19C5" w:rsidP="0033231E">
      <w:pPr>
        <w:ind w:left="1134"/>
        <w:jc w:val="left"/>
        <w:rPr>
          <w:rFonts w:ascii="Times New Roman" w:hAnsi="Times New Roman"/>
          <w:sz w:val="22"/>
          <w:szCs w:val="22"/>
        </w:rPr>
      </w:pPr>
      <w:r w:rsidRPr="002E4FA2">
        <w:rPr>
          <w:rFonts w:ascii="Times New Roman" w:hAnsi="Times New Roman"/>
          <w:sz w:val="22"/>
          <w:szCs w:val="22"/>
          <w:highlight w:val="green"/>
        </w:rPr>
        <w:t>NOTE 3:</w:t>
      </w:r>
      <w:r w:rsidRPr="002E4FA2">
        <w:rPr>
          <w:rFonts w:ascii="Times New Roman" w:hAnsi="Times New Roman"/>
          <w:sz w:val="22"/>
          <w:szCs w:val="22"/>
          <w:highlight w:val="green"/>
        </w:rPr>
        <w:tab/>
        <w:t>UAI can be sent from the source gNB to the target gNB to exchange applicability reporting referring to the configurations from the source gNB. The source gNB can send to the target gNB applicability information referring to the configurations from the source gNB, via handover preparation information message.</w:t>
      </w:r>
    </w:p>
    <w:p w14:paraId="09B385B1" w14:textId="77777777" w:rsidR="004B19C5" w:rsidRPr="002E4FA2" w:rsidRDefault="004B19C5" w:rsidP="0033231E">
      <w:pPr>
        <w:jc w:val="left"/>
        <w:rPr>
          <w:rFonts w:ascii="Times New Roman" w:hAnsi="Times New Roman"/>
          <w:sz w:val="22"/>
          <w:szCs w:val="22"/>
        </w:rPr>
      </w:pPr>
    </w:p>
    <w:p w14:paraId="471C7EA3" w14:textId="661B2140" w:rsidR="004B19C5" w:rsidRPr="002E4FA2" w:rsidRDefault="004B19C5" w:rsidP="0033231E">
      <w:pPr>
        <w:tabs>
          <w:tab w:val="left" w:pos="1377"/>
        </w:tabs>
        <w:ind w:left="1170" w:hanging="1170"/>
        <w:jc w:val="left"/>
        <w:rPr>
          <w:rFonts w:ascii="Times New Roman" w:hAnsi="Times New Roman"/>
          <w:b/>
          <w:i/>
          <w:iCs/>
          <w:sz w:val="22"/>
          <w:szCs w:val="22"/>
        </w:rPr>
      </w:pPr>
      <w:r w:rsidRPr="002E4FA2">
        <w:rPr>
          <w:rFonts w:ascii="Times New Roman" w:hAnsi="Times New Roman"/>
          <w:b/>
          <w:sz w:val="22"/>
          <w:szCs w:val="22"/>
          <w:u w:val="single"/>
        </w:rPr>
        <w:t>Proposal 2:</w:t>
      </w:r>
      <w:r w:rsidRPr="002E4FA2">
        <w:rPr>
          <w:rFonts w:ascii="Times New Roman" w:hAnsi="Times New Roman"/>
          <w:b/>
          <w:sz w:val="22"/>
          <w:szCs w:val="22"/>
        </w:rPr>
        <w:t xml:space="preserve"> </w:t>
      </w:r>
      <w:r w:rsidRPr="002E4FA2">
        <w:rPr>
          <w:rFonts w:ascii="Times New Roman" w:hAnsi="Times New Roman"/>
          <w:b/>
          <w:i/>
          <w:iCs/>
          <w:sz w:val="22"/>
          <w:szCs w:val="22"/>
        </w:rPr>
        <w:t xml:space="preserve">For </w:t>
      </w:r>
      <w:r w:rsidR="0042409B" w:rsidRPr="002E4FA2">
        <w:rPr>
          <w:rFonts w:ascii="Times New Roman" w:hAnsi="Times New Roman"/>
          <w:b/>
          <w:i/>
          <w:iCs/>
          <w:sz w:val="22"/>
          <w:szCs w:val="22"/>
        </w:rPr>
        <w:t xml:space="preserve">indirect </w:t>
      </w:r>
      <w:r w:rsidRPr="002E4FA2">
        <w:rPr>
          <w:rFonts w:ascii="Times New Roman" w:hAnsi="Times New Roman"/>
          <w:b/>
          <w:i/>
          <w:iCs/>
          <w:sz w:val="22"/>
          <w:szCs w:val="22"/>
        </w:rPr>
        <w:t xml:space="preserve">RRM measurement </w:t>
      </w:r>
      <w:r w:rsidR="003B0699" w:rsidRPr="002E4FA2">
        <w:rPr>
          <w:rFonts w:ascii="Times New Roman" w:hAnsi="Times New Roman"/>
          <w:b/>
          <w:i/>
          <w:iCs/>
          <w:sz w:val="22"/>
          <w:szCs w:val="22"/>
        </w:rPr>
        <w:t xml:space="preserve">event </w:t>
      </w:r>
      <w:r w:rsidRPr="002E4FA2">
        <w:rPr>
          <w:rFonts w:ascii="Times New Roman" w:hAnsi="Times New Roman"/>
          <w:b/>
          <w:i/>
          <w:iCs/>
          <w:sz w:val="22"/>
          <w:szCs w:val="22"/>
        </w:rPr>
        <w:t xml:space="preserve">prediction, RAN2 to adopt the applicability determination and reporting framework for AIML BM that is captured in 38.300 (section 22.2.3), except for the aspects related to CSI configuration/reporting. </w:t>
      </w:r>
    </w:p>
    <w:p w14:paraId="2B331AEB" w14:textId="23DF373D" w:rsidR="004B19C5" w:rsidRPr="002E4FA2" w:rsidRDefault="004B19C5" w:rsidP="0033231E">
      <w:pPr>
        <w:jc w:val="left"/>
        <w:rPr>
          <w:rFonts w:ascii="Times New Roman" w:hAnsi="Times New Roman"/>
          <w:sz w:val="22"/>
          <w:szCs w:val="22"/>
        </w:rPr>
      </w:pPr>
      <w:r w:rsidRPr="002E4FA2">
        <w:rPr>
          <w:rFonts w:ascii="Times New Roman" w:hAnsi="Times New Roman"/>
          <w:sz w:val="22"/>
          <w:szCs w:val="22"/>
        </w:rPr>
        <w:t xml:space="preserve">In the following sub sections, we discuss in detail the aspects that are particular to </w:t>
      </w:r>
      <w:r w:rsidR="0042409B" w:rsidRPr="002E4FA2">
        <w:rPr>
          <w:rFonts w:ascii="Times New Roman" w:hAnsi="Times New Roman"/>
          <w:sz w:val="22"/>
          <w:szCs w:val="22"/>
        </w:rPr>
        <w:t>indirect</w:t>
      </w:r>
      <w:r w:rsidRPr="002E4FA2">
        <w:rPr>
          <w:rFonts w:ascii="Times New Roman" w:hAnsi="Times New Roman"/>
          <w:sz w:val="22"/>
          <w:szCs w:val="22"/>
        </w:rPr>
        <w:t xml:space="preserve"> RRM measurement </w:t>
      </w:r>
      <w:r w:rsidR="003B0699" w:rsidRPr="002E4FA2">
        <w:rPr>
          <w:rFonts w:ascii="Times New Roman" w:hAnsi="Times New Roman"/>
          <w:sz w:val="22"/>
          <w:szCs w:val="22"/>
        </w:rPr>
        <w:t xml:space="preserve">event </w:t>
      </w:r>
      <w:r w:rsidRPr="002E4FA2">
        <w:rPr>
          <w:rFonts w:ascii="Times New Roman" w:hAnsi="Times New Roman"/>
          <w:sz w:val="22"/>
          <w:szCs w:val="22"/>
        </w:rPr>
        <w:t>prediction that are different from AIML BM case.</w:t>
      </w:r>
    </w:p>
    <w:p w14:paraId="71B00C72" w14:textId="2EFC5D00" w:rsidR="000C6D42" w:rsidRPr="00881FE5" w:rsidRDefault="000C6D42" w:rsidP="0033231E">
      <w:pPr>
        <w:pStyle w:val="Heading2"/>
        <w:rPr>
          <w:sz w:val="28"/>
          <w:szCs w:val="28"/>
        </w:rPr>
      </w:pPr>
      <w:r w:rsidRPr="00881FE5">
        <w:rPr>
          <w:sz w:val="28"/>
          <w:szCs w:val="28"/>
        </w:rPr>
        <w:t xml:space="preserve">2.2 </w:t>
      </w:r>
      <w:r w:rsidR="000E6299">
        <w:rPr>
          <w:sz w:val="28"/>
          <w:szCs w:val="28"/>
        </w:rPr>
        <w:t>UE capability</w:t>
      </w:r>
    </w:p>
    <w:p w14:paraId="124592A4" w14:textId="0A95B424" w:rsidR="00C51120" w:rsidRPr="002E4FA2" w:rsidRDefault="00016C37" w:rsidP="0033231E">
      <w:pPr>
        <w:jc w:val="left"/>
        <w:rPr>
          <w:rFonts w:ascii="Times New Roman" w:hAnsi="Times New Roman"/>
          <w:sz w:val="22"/>
          <w:szCs w:val="22"/>
        </w:rPr>
      </w:pPr>
      <w:r w:rsidRPr="002E4FA2">
        <w:rPr>
          <w:rFonts w:ascii="Times New Roman" w:hAnsi="Times New Roman"/>
          <w:sz w:val="22"/>
          <w:szCs w:val="22"/>
        </w:rPr>
        <w:t xml:space="preserve">In </w:t>
      </w:r>
      <w:r w:rsidR="00DE4E1C" w:rsidRPr="002E4FA2">
        <w:rPr>
          <w:rFonts w:ascii="Times New Roman" w:hAnsi="Times New Roman"/>
          <w:sz w:val="22"/>
          <w:szCs w:val="22"/>
        </w:rPr>
        <w:t xml:space="preserve">indirect RRM measurement </w:t>
      </w:r>
      <w:r w:rsidR="00035103" w:rsidRPr="002E4FA2">
        <w:rPr>
          <w:rFonts w:ascii="Times New Roman" w:hAnsi="Times New Roman"/>
          <w:sz w:val="22"/>
          <w:szCs w:val="22"/>
        </w:rPr>
        <w:t xml:space="preserve">event prediction, a UE-sided AIML model </w:t>
      </w:r>
      <w:r w:rsidR="005C0DD3" w:rsidRPr="002E4FA2">
        <w:rPr>
          <w:rFonts w:ascii="Times New Roman" w:hAnsi="Times New Roman"/>
          <w:sz w:val="22"/>
          <w:szCs w:val="22"/>
        </w:rPr>
        <w:t>first</w:t>
      </w:r>
      <w:r w:rsidR="00854B50" w:rsidRPr="002E4FA2">
        <w:rPr>
          <w:rFonts w:ascii="Times New Roman" w:hAnsi="Times New Roman"/>
          <w:sz w:val="22"/>
          <w:szCs w:val="22"/>
        </w:rPr>
        <w:t xml:space="preserve"> generate</w:t>
      </w:r>
      <w:r w:rsidR="002E7CB2" w:rsidRPr="002E4FA2">
        <w:rPr>
          <w:rFonts w:ascii="Times New Roman" w:hAnsi="Times New Roman"/>
          <w:sz w:val="22"/>
          <w:szCs w:val="22"/>
        </w:rPr>
        <w:t>s</w:t>
      </w:r>
      <w:r w:rsidR="00854B50" w:rsidRPr="002E4FA2">
        <w:rPr>
          <w:rFonts w:ascii="Times New Roman" w:hAnsi="Times New Roman"/>
          <w:sz w:val="22"/>
          <w:szCs w:val="22"/>
        </w:rPr>
        <w:t xml:space="preserve"> RRM measurement </w:t>
      </w:r>
      <w:r w:rsidR="002E7CB2" w:rsidRPr="002E4FA2">
        <w:rPr>
          <w:rFonts w:ascii="Times New Roman" w:hAnsi="Times New Roman"/>
          <w:sz w:val="22"/>
          <w:szCs w:val="22"/>
        </w:rPr>
        <w:t>predictions</w:t>
      </w:r>
      <w:r w:rsidR="00854B50" w:rsidRPr="002E4FA2">
        <w:rPr>
          <w:rFonts w:ascii="Times New Roman" w:hAnsi="Times New Roman"/>
          <w:sz w:val="22"/>
          <w:szCs w:val="22"/>
        </w:rPr>
        <w:t xml:space="preserve"> (e.g., RSRP </w:t>
      </w:r>
      <w:r w:rsidR="002E7CB2" w:rsidRPr="002E4FA2">
        <w:rPr>
          <w:rFonts w:ascii="Times New Roman" w:hAnsi="Times New Roman"/>
          <w:sz w:val="22"/>
          <w:szCs w:val="22"/>
        </w:rPr>
        <w:t>predictions</w:t>
      </w:r>
      <w:r w:rsidR="00854B50" w:rsidRPr="002E4FA2">
        <w:rPr>
          <w:rFonts w:ascii="Times New Roman" w:hAnsi="Times New Roman"/>
          <w:sz w:val="22"/>
          <w:szCs w:val="22"/>
        </w:rPr>
        <w:t>)</w:t>
      </w:r>
      <w:r w:rsidR="005C0DD3" w:rsidRPr="002E4FA2">
        <w:rPr>
          <w:rFonts w:ascii="Times New Roman" w:hAnsi="Times New Roman"/>
          <w:sz w:val="22"/>
          <w:szCs w:val="22"/>
        </w:rPr>
        <w:t xml:space="preserve"> and</w:t>
      </w:r>
      <w:r w:rsidR="002E7CB2" w:rsidRPr="002E4FA2">
        <w:rPr>
          <w:rFonts w:ascii="Times New Roman" w:hAnsi="Times New Roman"/>
          <w:sz w:val="22"/>
          <w:szCs w:val="22"/>
        </w:rPr>
        <w:t xml:space="preserve"> </w:t>
      </w:r>
      <w:r w:rsidR="00B767CF" w:rsidRPr="002E4FA2">
        <w:rPr>
          <w:rFonts w:ascii="Times New Roman" w:hAnsi="Times New Roman"/>
          <w:sz w:val="22"/>
          <w:szCs w:val="22"/>
        </w:rPr>
        <w:t xml:space="preserve">the event prediction is generated by further post-processing of these </w:t>
      </w:r>
      <w:r w:rsidR="00CC1A44" w:rsidRPr="002E4FA2">
        <w:rPr>
          <w:rFonts w:ascii="Times New Roman" w:hAnsi="Times New Roman"/>
          <w:sz w:val="22"/>
          <w:szCs w:val="22"/>
        </w:rPr>
        <w:t>results, without further involvement of the AIML model.</w:t>
      </w:r>
      <w:r w:rsidRPr="002E4FA2">
        <w:rPr>
          <w:rFonts w:ascii="Times New Roman" w:hAnsi="Times New Roman"/>
          <w:sz w:val="22"/>
          <w:szCs w:val="22"/>
        </w:rPr>
        <w:t xml:space="preserve"> Thus, a UE that </w:t>
      </w:r>
      <w:r w:rsidR="001517C6" w:rsidRPr="002E4FA2">
        <w:rPr>
          <w:rFonts w:ascii="Times New Roman" w:hAnsi="Times New Roman"/>
          <w:sz w:val="22"/>
          <w:szCs w:val="22"/>
        </w:rPr>
        <w:t>capable of performing</w:t>
      </w:r>
      <w:r w:rsidRPr="002E4FA2">
        <w:rPr>
          <w:rFonts w:ascii="Times New Roman" w:hAnsi="Times New Roman"/>
          <w:sz w:val="22"/>
          <w:szCs w:val="22"/>
        </w:rPr>
        <w:t xml:space="preserve"> RRM measurement</w:t>
      </w:r>
      <w:r w:rsidR="001517C6" w:rsidRPr="002E4FA2">
        <w:rPr>
          <w:rFonts w:ascii="Times New Roman" w:hAnsi="Times New Roman"/>
          <w:sz w:val="22"/>
          <w:szCs w:val="22"/>
        </w:rPr>
        <w:t>s is implicitly also capable of indirect measurement</w:t>
      </w:r>
      <w:r w:rsidRPr="002E4FA2">
        <w:rPr>
          <w:rFonts w:ascii="Times New Roman" w:hAnsi="Times New Roman"/>
          <w:sz w:val="22"/>
          <w:szCs w:val="22"/>
        </w:rPr>
        <w:t xml:space="preserve"> event prediction</w:t>
      </w:r>
      <w:r w:rsidR="001517C6" w:rsidRPr="002E4FA2">
        <w:rPr>
          <w:rFonts w:ascii="Times New Roman" w:hAnsi="Times New Roman"/>
          <w:sz w:val="22"/>
          <w:szCs w:val="22"/>
        </w:rPr>
        <w:t xml:space="preserve">. </w:t>
      </w:r>
    </w:p>
    <w:p w14:paraId="695E5F7D" w14:textId="77777777" w:rsidR="00CF4018" w:rsidRPr="002E4FA2" w:rsidRDefault="00CF4018" w:rsidP="0033231E">
      <w:pPr>
        <w:jc w:val="left"/>
        <w:rPr>
          <w:rFonts w:ascii="Times New Roman" w:hAnsi="Times New Roman"/>
          <w:sz w:val="22"/>
          <w:szCs w:val="22"/>
        </w:rPr>
      </w:pPr>
    </w:p>
    <w:p w14:paraId="6BE6EBF4" w14:textId="17EDC2EA" w:rsidR="006D1F0A" w:rsidRPr="002E4FA2" w:rsidRDefault="00CF4018" w:rsidP="0033231E">
      <w:pPr>
        <w:tabs>
          <w:tab w:val="left" w:pos="1377"/>
        </w:tabs>
        <w:ind w:left="1170" w:hanging="1170"/>
        <w:jc w:val="left"/>
        <w:rPr>
          <w:rFonts w:ascii="Times New Roman" w:hAnsi="Times New Roman"/>
          <w:b/>
          <w:i/>
          <w:iCs/>
          <w:sz w:val="22"/>
          <w:szCs w:val="22"/>
        </w:rPr>
      </w:pPr>
      <w:r w:rsidRPr="002E4FA2">
        <w:rPr>
          <w:rFonts w:ascii="Times New Roman" w:hAnsi="Times New Roman"/>
          <w:b/>
          <w:sz w:val="22"/>
          <w:szCs w:val="22"/>
          <w:u w:val="single"/>
        </w:rPr>
        <w:t>Proposal 3:</w:t>
      </w:r>
      <w:r w:rsidRPr="002E4FA2">
        <w:rPr>
          <w:rFonts w:ascii="Times New Roman" w:hAnsi="Times New Roman"/>
          <w:b/>
          <w:sz w:val="22"/>
          <w:szCs w:val="22"/>
        </w:rPr>
        <w:t xml:space="preserve"> </w:t>
      </w:r>
      <w:r w:rsidR="003A4491" w:rsidRPr="002E4FA2">
        <w:rPr>
          <w:rFonts w:ascii="Times New Roman" w:hAnsi="Times New Roman"/>
          <w:b/>
          <w:i/>
          <w:iCs/>
          <w:sz w:val="22"/>
          <w:szCs w:val="22"/>
        </w:rPr>
        <w:t>A UE that is capable of RRM measurement prediction</w:t>
      </w:r>
      <w:r w:rsidR="006D1F0A" w:rsidRPr="002E4FA2">
        <w:rPr>
          <w:rFonts w:ascii="Times New Roman" w:hAnsi="Times New Roman"/>
          <w:b/>
          <w:i/>
          <w:iCs/>
          <w:sz w:val="22"/>
          <w:szCs w:val="22"/>
        </w:rPr>
        <w:t xml:space="preserve"> is also capable of indirect </w:t>
      </w:r>
      <w:r w:rsidRPr="002E4FA2">
        <w:rPr>
          <w:rFonts w:ascii="Times New Roman" w:hAnsi="Times New Roman"/>
          <w:b/>
          <w:i/>
          <w:iCs/>
          <w:sz w:val="22"/>
          <w:szCs w:val="22"/>
        </w:rPr>
        <w:t xml:space="preserve">RRM measurement </w:t>
      </w:r>
      <w:r w:rsidR="006D1F0A" w:rsidRPr="002E4FA2">
        <w:rPr>
          <w:rFonts w:ascii="Times New Roman" w:hAnsi="Times New Roman"/>
          <w:b/>
          <w:i/>
          <w:iCs/>
          <w:sz w:val="22"/>
          <w:szCs w:val="22"/>
        </w:rPr>
        <w:t xml:space="preserve">event </w:t>
      </w:r>
      <w:r w:rsidRPr="002E4FA2">
        <w:rPr>
          <w:rFonts w:ascii="Times New Roman" w:hAnsi="Times New Roman"/>
          <w:b/>
          <w:i/>
          <w:iCs/>
          <w:sz w:val="22"/>
          <w:szCs w:val="22"/>
        </w:rPr>
        <w:t>prediction</w:t>
      </w:r>
      <w:r w:rsidR="00727ED6" w:rsidRPr="002E4FA2">
        <w:rPr>
          <w:rFonts w:ascii="Times New Roman" w:hAnsi="Times New Roman"/>
          <w:b/>
          <w:i/>
          <w:iCs/>
          <w:sz w:val="22"/>
          <w:szCs w:val="22"/>
        </w:rPr>
        <w:t>.</w:t>
      </w:r>
    </w:p>
    <w:p w14:paraId="454F739D" w14:textId="56BC55BF" w:rsidR="00654C72" w:rsidRPr="00881FE5" w:rsidRDefault="00CA5D72" w:rsidP="0033231E">
      <w:pPr>
        <w:pStyle w:val="Heading2"/>
        <w:rPr>
          <w:sz w:val="28"/>
          <w:szCs w:val="28"/>
        </w:rPr>
      </w:pPr>
      <w:r w:rsidRPr="00881FE5">
        <w:rPr>
          <w:sz w:val="28"/>
          <w:szCs w:val="28"/>
        </w:rPr>
        <w:t>2.3 Inference configuration/reporting</w:t>
      </w:r>
    </w:p>
    <w:p w14:paraId="25CF5B18" w14:textId="77777777" w:rsidR="00E305E6" w:rsidRPr="002E4FA2" w:rsidRDefault="00EE2019" w:rsidP="0033231E">
      <w:pPr>
        <w:jc w:val="left"/>
        <w:rPr>
          <w:rFonts w:ascii="Times New Roman" w:hAnsi="Times New Roman"/>
          <w:sz w:val="22"/>
          <w:szCs w:val="22"/>
        </w:rPr>
      </w:pPr>
      <w:r w:rsidRPr="002E4FA2">
        <w:rPr>
          <w:rFonts w:ascii="Times New Roman" w:hAnsi="Times New Roman"/>
          <w:sz w:val="22"/>
          <w:szCs w:val="22"/>
        </w:rPr>
        <w:t>It is obvious that the inference and reporting configuration for the AIML mobility use case will be different from the AIML BM use case. The</w:t>
      </w:r>
      <w:r w:rsidR="000E4B76" w:rsidRPr="002E4FA2">
        <w:rPr>
          <w:rFonts w:ascii="Times New Roman" w:hAnsi="Times New Roman"/>
          <w:sz w:val="22"/>
          <w:szCs w:val="22"/>
        </w:rPr>
        <w:t>re were various</w:t>
      </w:r>
      <w:r w:rsidRPr="002E4FA2">
        <w:rPr>
          <w:rFonts w:ascii="Times New Roman" w:hAnsi="Times New Roman"/>
          <w:sz w:val="22"/>
          <w:szCs w:val="22"/>
        </w:rPr>
        <w:t xml:space="preserve"> agreements captured </w:t>
      </w:r>
      <w:r w:rsidR="009E64F8" w:rsidRPr="002E4FA2">
        <w:rPr>
          <w:rFonts w:ascii="Times New Roman" w:hAnsi="Times New Roman"/>
          <w:sz w:val="22"/>
          <w:szCs w:val="22"/>
        </w:rPr>
        <w:t>on</w:t>
      </w:r>
      <w:r w:rsidRPr="002E4FA2">
        <w:rPr>
          <w:rFonts w:ascii="Times New Roman" w:hAnsi="Times New Roman"/>
          <w:sz w:val="22"/>
          <w:szCs w:val="22"/>
        </w:rPr>
        <w:t xml:space="preserve"> </w:t>
      </w:r>
      <w:r w:rsidR="00C805D9" w:rsidRPr="002E4FA2">
        <w:rPr>
          <w:rFonts w:ascii="Times New Roman" w:hAnsi="Times New Roman"/>
          <w:sz w:val="22"/>
          <w:szCs w:val="22"/>
        </w:rPr>
        <w:t xml:space="preserve">Sec. </w:t>
      </w:r>
      <w:r w:rsidR="003D24AC" w:rsidRPr="002E4FA2">
        <w:rPr>
          <w:rFonts w:ascii="Times New Roman" w:hAnsi="Times New Roman"/>
          <w:sz w:val="22"/>
          <w:szCs w:val="22"/>
        </w:rPr>
        <w:t>6.1.2.1.2</w:t>
      </w:r>
      <w:r w:rsidR="00C805D9" w:rsidRPr="002E4FA2">
        <w:rPr>
          <w:rFonts w:ascii="Times New Roman" w:hAnsi="Times New Roman"/>
          <w:sz w:val="22"/>
          <w:szCs w:val="22"/>
        </w:rPr>
        <w:t xml:space="preserve"> in [1]</w:t>
      </w:r>
      <w:r w:rsidRPr="002E4FA2">
        <w:rPr>
          <w:rFonts w:ascii="Times New Roman" w:hAnsi="Times New Roman"/>
          <w:sz w:val="22"/>
          <w:szCs w:val="22"/>
        </w:rPr>
        <w:t xml:space="preserve"> regarding the inference configuration/reporting for RRM measurement predictio</w:t>
      </w:r>
      <w:r w:rsidR="00057E99" w:rsidRPr="002E4FA2">
        <w:rPr>
          <w:rFonts w:ascii="Times New Roman" w:hAnsi="Times New Roman"/>
          <w:sz w:val="22"/>
          <w:szCs w:val="22"/>
        </w:rPr>
        <w:t>n</w:t>
      </w:r>
      <w:r w:rsidR="00E305E6" w:rsidRPr="002E4FA2">
        <w:rPr>
          <w:rFonts w:ascii="Times New Roman" w:hAnsi="Times New Roman"/>
          <w:sz w:val="22"/>
          <w:szCs w:val="22"/>
        </w:rPr>
        <w:t>:</w:t>
      </w:r>
    </w:p>
    <w:p w14:paraId="0BD71EB2" w14:textId="77777777" w:rsidR="00E305E6" w:rsidRPr="002E4FA2" w:rsidRDefault="00E305E6" w:rsidP="0033231E">
      <w:pPr>
        <w:jc w:val="left"/>
        <w:rPr>
          <w:rFonts w:ascii="Times New Roman" w:hAnsi="Times New Roman"/>
          <w:sz w:val="22"/>
          <w:szCs w:val="22"/>
        </w:rPr>
      </w:pPr>
    </w:p>
    <w:p w14:paraId="7740B7E5" w14:textId="77777777" w:rsidR="00E305E6" w:rsidRPr="002E4FA2" w:rsidRDefault="00E305E6" w:rsidP="0033231E">
      <w:pPr>
        <w:ind w:left="567"/>
        <w:jc w:val="left"/>
        <w:rPr>
          <w:rFonts w:ascii="Times New Roman" w:hAnsi="Times New Roman"/>
          <w:i/>
          <w:iCs/>
          <w:sz w:val="22"/>
          <w:szCs w:val="22"/>
        </w:rPr>
      </w:pPr>
      <w:bookmarkStart w:id="3" w:name="_Hlk213101634"/>
      <w:r w:rsidRPr="002E4FA2">
        <w:rPr>
          <w:rFonts w:ascii="Times New Roman" w:hAnsi="Times New Roman"/>
          <w:i/>
          <w:iCs/>
          <w:sz w:val="22"/>
          <w:szCs w:val="22"/>
        </w:rPr>
        <w:t>Existing RRM measurement configuration and reporting framework in RRC layer is baseline for inference configuration and report.</w:t>
      </w:r>
      <w:bookmarkEnd w:id="3"/>
      <w:r w:rsidRPr="002E4FA2">
        <w:rPr>
          <w:rFonts w:ascii="Times New Roman" w:hAnsi="Times New Roman"/>
          <w:i/>
          <w:iCs/>
          <w:sz w:val="22"/>
          <w:szCs w:val="22"/>
        </w:rPr>
        <w:t xml:space="preserve"> When a full inference configuration is received, UE shall maintain it until it is released by network explicitly.</w:t>
      </w:r>
    </w:p>
    <w:p w14:paraId="08DBB266" w14:textId="77777777" w:rsidR="00E305E6" w:rsidRPr="002E4FA2" w:rsidRDefault="00E305E6" w:rsidP="0033231E">
      <w:pPr>
        <w:ind w:left="567"/>
        <w:jc w:val="left"/>
        <w:rPr>
          <w:rFonts w:ascii="Times New Roman" w:hAnsi="Times New Roman"/>
          <w:i/>
          <w:iCs/>
          <w:sz w:val="22"/>
          <w:szCs w:val="22"/>
        </w:rPr>
      </w:pPr>
      <w:r w:rsidRPr="002E4FA2">
        <w:rPr>
          <w:rFonts w:ascii="Times New Roman" w:hAnsi="Times New Roman"/>
          <w:i/>
          <w:iCs/>
          <w:sz w:val="22"/>
          <w:szCs w:val="22"/>
        </w:rPr>
        <w:t>Following inference parameters can be configured to UE for inference and assessing applicability:</w:t>
      </w:r>
    </w:p>
    <w:p w14:paraId="6F579D3D"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 xml:space="preserve">PW length for intra-frequency temporal domain case </w:t>
      </w:r>
      <w:proofErr w:type="gramStart"/>
      <w:r w:rsidRPr="002E4FA2">
        <w:rPr>
          <w:rFonts w:ascii="Times New Roman" w:hAnsi="Times New Roman"/>
          <w:i/>
          <w:iCs/>
          <w:sz w:val="22"/>
          <w:szCs w:val="22"/>
        </w:rPr>
        <w:t>A;</w:t>
      </w:r>
      <w:proofErr w:type="gramEnd"/>
    </w:p>
    <w:p w14:paraId="0F38111E"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r>
      <w:bookmarkStart w:id="4" w:name="_Hlk213102205"/>
      <w:r w:rsidRPr="002E4FA2">
        <w:rPr>
          <w:rFonts w:ascii="Times New Roman" w:hAnsi="Times New Roman"/>
          <w:i/>
          <w:iCs/>
          <w:sz w:val="22"/>
          <w:szCs w:val="22"/>
        </w:rPr>
        <w:t xml:space="preserve">Measured frequency carrier and predicted frequency carrier information for inter-frequency </w:t>
      </w:r>
      <w:proofErr w:type="gramStart"/>
      <w:r w:rsidRPr="002E4FA2">
        <w:rPr>
          <w:rFonts w:ascii="Times New Roman" w:hAnsi="Times New Roman"/>
          <w:i/>
          <w:iCs/>
          <w:sz w:val="22"/>
          <w:szCs w:val="22"/>
        </w:rPr>
        <w:t>prediction;</w:t>
      </w:r>
      <w:bookmarkEnd w:id="4"/>
      <w:proofErr w:type="gramEnd"/>
    </w:p>
    <w:p w14:paraId="74F56B5C"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Parameter for intra-frequency temporal domain case B to indicate the timing of network’s SSB configuration (but not necessarily the timing for UE to perform or skip measurement</w:t>
      </w:r>
      <w:proofErr w:type="gramStart"/>
      <w:r w:rsidRPr="002E4FA2">
        <w:rPr>
          <w:rFonts w:ascii="Times New Roman" w:hAnsi="Times New Roman"/>
          <w:i/>
          <w:iCs/>
          <w:sz w:val="22"/>
          <w:szCs w:val="22"/>
        </w:rPr>
        <w:t>);</w:t>
      </w:r>
      <w:proofErr w:type="gramEnd"/>
    </w:p>
    <w:p w14:paraId="0624A2DC"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Optional list of cells for intra-frequency temporal domain case A, for which network expects inference report (if available</w:t>
      </w:r>
      <w:proofErr w:type="gramStart"/>
      <w:r w:rsidRPr="002E4FA2">
        <w:rPr>
          <w:rFonts w:ascii="Times New Roman" w:hAnsi="Times New Roman"/>
          <w:i/>
          <w:iCs/>
          <w:sz w:val="22"/>
          <w:szCs w:val="22"/>
        </w:rPr>
        <w:t>);</w:t>
      </w:r>
      <w:proofErr w:type="gramEnd"/>
    </w:p>
    <w:p w14:paraId="46887DE8"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r>
      <w:r w:rsidRPr="002E4FA2">
        <w:rPr>
          <w:rFonts w:ascii="Times New Roman" w:hAnsi="Times New Roman"/>
          <w:i/>
          <w:iCs/>
          <w:sz w:val="22"/>
          <w:szCs w:val="22"/>
          <w:highlight w:val="red"/>
        </w:rPr>
        <w:t>Optional Beam pattern e.g. to save SSB transmission for intra-frequency spatial domain prediction.</w:t>
      </w:r>
    </w:p>
    <w:p w14:paraId="7D52F8A8"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Optional associated ID.</w:t>
      </w:r>
    </w:p>
    <w:p w14:paraId="731A3AE4" w14:textId="77777777" w:rsidR="00E305E6" w:rsidRPr="002E4FA2" w:rsidRDefault="00E305E6" w:rsidP="0033231E">
      <w:pPr>
        <w:ind w:left="567"/>
        <w:jc w:val="left"/>
        <w:rPr>
          <w:rFonts w:ascii="Times New Roman" w:hAnsi="Times New Roman"/>
          <w:i/>
          <w:iCs/>
          <w:sz w:val="22"/>
          <w:szCs w:val="22"/>
        </w:rPr>
      </w:pPr>
      <w:r w:rsidRPr="002E4FA2">
        <w:rPr>
          <w:rFonts w:ascii="Times New Roman" w:hAnsi="Times New Roman"/>
          <w:i/>
          <w:iCs/>
          <w:sz w:val="22"/>
          <w:szCs w:val="22"/>
        </w:rPr>
        <w:lastRenderedPageBreak/>
        <w:t>It is up to UE’s implementation to decide on model-related choices including cluster-based vs single-cell-based approach, RRM sub-use cases and OW length.</w:t>
      </w:r>
    </w:p>
    <w:p w14:paraId="50523264" w14:textId="77777777" w:rsidR="00E305E6" w:rsidRPr="002E4FA2" w:rsidRDefault="00E305E6" w:rsidP="0033231E">
      <w:pPr>
        <w:pStyle w:val="NO"/>
        <w:ind w:left="1702"/>
        <w:rPr>
          <w:i/>
          <w:iCs/>
          <w:sz w:val="22"/>
          <w:szCs w:val="22"/>
        </w:rPr>
      </w:pPr>
      <w:r w:rsidRPr="002E4FA2">
        <w:rPr>
          <w:i/>
          <w:iCs/>
          <w:sz w:val="22"/>
          <w:szCs w:val="22"/>
        </w:rPr>
        <w:t>NOTE 1:</w:t>
      </w:r>
      <w:r w:rsidRPr="002E4FA2">
        <w:rPr>
          <w:i/>
          <w:iCs/>
          <w:sz w:val="22"/>
          <w:szCs w:val="22"/>
        </w:rPr>
        <w:tab/>
        <w:t>MRRT or MRRS can be considered if it is required for defining performance requirement in RAN4</w:t>
      </w:r>
    </w:p>
    <w:p w14:paraId="7C640004" w14:textId="77777777" w:rsidR="00E305E6" w:rsidRPr="002E4FA2" w:rsidRDefault="00E305E6" w:rsidP="0033231E">
      <w:pPr>
        <w:pStyle w:val="NO"/>
        <w:ind w:left="1702"/>
        <w:rPr>
          <w:i/>
          <w:iCs/>
          <w:sz w:val="22"/>
          <w:szCs w:val="22"/>
        </w:rPr>
      </w:pPr>
      <w:r w:rsidRPr="002E4FA2">
        <w:rPr>
          <w:i/>
          <w:iCs/>
          <w:sz w:val="22"/>
          <w:szCs w:val="22"/>
        </w:rPr>
        <w:t>NOTE 2:</w:t>
      </w:r>
      <w:r w:rsidRPr="002E4FA2">
        <w:rPr>
          <w:i/>
          <w:iCs/>
          <w:sz w:val="22"/>
          <w:szCs w:val="22"/>
        </w:rPr>
        <w:tab/>
        <w:t>The detail (e.g. which use case(s)) of associated ID will be decided during WI phase</w:t>
      </w:r>
    </w:p>
    <w:p w14:paraId="2361838E" w14:textId="77777777" w:rsidR="00E305E6" w:rsidRPr="002E4FA2" w:rsidRDefault="00E305E6" w:rsidP="0033231E">
      <w:pPr>
        <w:ind w:left="567"/>
        <w:jc w:val="left"/>
        <w:rPr>
          <w:rFonts w:ascii="Times New Roman" w:hAnsi="Times New Roman"/>
          <w:i/>
          <w:iCs/>
          <w:sz w:val="22"/>
          <w:szCs w:val="22"/>
        </w:rPr>
      </w:pPr>
      <w:r w:rsidRPr="002E4FA2">
        <w:rPr>
          <w:rFonts w:ascii="Times New Roman" w:hAnsi="Times New Roman"/>
          <w:i/>
          <w:iCs/>
          <w:sz w:val="22"/>
          <w:szCs w:val="22"/>
        </w:rPr>
        <w:t xml:space="preserve">UE can be configured with periodic or event triggered reporting of predicted and/or actual measurement result(s). For each reported cell in the </w:t>
      </w:r>
      <w:proofErr w:type="spellStart"/>
      <w:r w:rsidRPr="002E4FA2">
        <w:rPr>
          <w:rFonts w:ascii="Times New Roman" w:hAnsi="Times New Roman"/>
          <w:i/>
          <w:iCs/>
          <w:sz w:val="22"/>
          <w:szCs w:val="22"/>
        </w:rPr>
        <w:t>measurementReport</w:t>
      </w:r>
      <w:proofErr w:type="spellEnd"/>
      <w:r w:rsidRPr="002E4FA2">
        <w:rPr>
          <w:rFonts w:ascii="Times New Roman" w:hAnsi="Times New Roman"/>
          <w:i/>
          <w:iCs/>
          <w:sz w:val="22"/>
          <w:szCs w:val="22"/>
        </w:rPr>
        <w:t xml:space="preserve"> message:</w:t>
      </w:r>
    </w:p>
    <w:p w14:paraId="6F0099DA"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 xml:space="preserve">For intra-frequency temporal domain case A, one or more instances of predicted measurement result(s) in PW can be </w:t>
      </w:r>
      <w:proofErr w:type="gramStart"/>
      <w:r w:rsidRPr="002E4FA2">
        <w:rPr>
          <w:rFonts w:ascii="Times New Roman" w:hAnsi="Times New Roman"/>
          <w:i/>
          <w:iCs/>
          <w:sz w:val="22"/>
          <w:szCs w:val="22"/>
        </w:rPr>
        <w:t>reported;</w:t>
      </w:r>
      <w:proofErr w:type="gramEnd"/>
    </w:p>
    <w:p w14:paraId="051B340A"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 xml:space="preserve">For intra-frequency temporal domain case B, the latest actual or predicted measurement result can be </w:t>
      </w:r>
      <w:proofErr w:type="gramStart"/>
      <w:r w:rsidRPr="002E4FA2">
        <w:rPr>
          <w:rFonts w:ascii="Times New Roman" w:hAnsi="Times New Roman"/>
          <w:i/>
          <w:iCs/>
          <w:sz w:val="22"/>
          <w:szCs w:val="22"/>
        </w:rPr>
        <w:t>reported;</w:t>
      </w:r>
      <w:proofErr w:type="gramEnd"/>
    </w:p>
    <w:p w14:paraId="7FA81036" w14:textId="77777777" w:rsidR="00E305E6" w:rsidRPr="002E4FA2" w:rsidRDefault="00E305E6" w:rsidP="0033231E">
      <w:pPr>
        <w:pStyle w:val="B1"/>
        <w:ind w:left="1135"/>
        <w:rPr>
          <w:rFonts w:ascii="Times New Roman" w:hAnsi="Times New Roman"/>
          <w:i/>
          <w:iCs/>
          <w:sz w:val="22"/>
          <w:szCs w:val="22"/>
        </w:rPr>
      </w:pPr>
      <w:r w:rsidRPr="002E4FA2">
        <w:rPr>
          <w:rFonts w:ascii="Times New Roman" w:hAnsi="Times New Roman"/>
          <w:i/>
          <w:iCs/>
          <w:sz w:val="22"/>
          <w:szCs w:val="22"/>
        </w:rPr>
        <w:t>-</w:t>
      </w:r>
      <w:r w:rsidRPr="002E4FA2">
        <w:rPr>
          <w:rFonts w:ascii="Times New Roman" w:hAnsi="Times New Roman"/>
          <w:i/>
          <w:iCs/>
          <w:sz w:val="22"/>
          <w:szCs w:val="22"/>
        </w:rPr>
        <w:tab/>
        <w:t>For inter-frequency prediction, the latest predicted measurement result is reported.</w:t>
      </w:r>
    </w:p>
    <w:p w14:paraId="7ECEA48A" w14:textId="3F5A4148" w:rsidR="0033231E" w:rsidRPr="002E4FA2" w:rsidRDefault="0033231E" w:rsidP="0033231E">
      <w:pPr>
        <w:jc w:val="left"/>
        <w:rPr>
          <w:rFonts w:ascii="Times New Roman" w:hAnsi="Times New Roman"/>
          <w:sz w:val="22"/>
          <w:szCs w:val="22"/>
        </w:rPr>
      </w:pPr>
      <w:r w:rsidRPr="002E4FA2">
        <w:rPr>
          <w:rFonts w:ascii="Times New Roman" w:hAnsi="Times New Roman"/>
          <w:sz w:val="22"/>
          <w:szCs w:val="22"/>
        </w:rPr>
        <w:t xml:space="preserve">In addition, the following information is provided </w:t>
      </w:r>
      <w:r>
        <w:rPr>
          <w:rFonts w:ascii="Times New Roman" w:hAnsi="Times New Roman"/>
          <w:sz w:val="22"/>
          <w:szCs w:val="22"/>
        </w:rPr>
        <w:t>in</w:t>
      </w:r>
      <w:r w:rsidRPr="002E4FA2">
        <w:rPr>
          <w:rFonts w:ascii="Times New Roman" w:hAnsi="Times New Roman"/>
          <w:sz w:val="22"/>
          <w:szCs w:val="22"/>
        </w:rPr>
        <w:t xml:space="preserve"> Sec. 6.1.3 [1], specifically for the case of RRM measurement event prediction:</w:t>
      </w:r>
    </w:p>
    <w:p w14:paraId="588B36CC" w14:textId="77777777" w:rsidR="0033231E" w:rsidRPr="002E4FA2" w:rsidRDefault="0033231E" w:rsidP="0033231E">
      <w:pPr>
        <w:ind w:left="567"/>
        <w:jc w:val="left"/>
        <w:rPr>
          <w:rFonts w:ascii="Times New Roman" w:hAnsi="Times New Roman"/>
          <w:i/>
          <w:iCs/>
          <w:sz w:val="22"/>
          <w:szCs w:val="22"/>
        </w:rPr>
      </w:pPr>
      <w:r w:rsidRPr="002E4FA2">
        <w:rPr>
          <w:rFonts w:ascii="Times New Roman" w:hAnsi="Times New Roman"/>
          <w:i/>
          <w:iCs/>
          <w:sz w:val="22"/>
          <w:szCs w:val="22"/>
        </w:rPr>
        <w:t>On top of inference parameters captured in section 6.1.2.1.2, event-related parameters e.g. event type are part of inference configuration of measurement event prediction.</w:t>
      </w:r>
    </w:p>
    <w:p w14:paraId="6FC202E7" w14:textId="77777777" w:rsidR="0033231E" w:rsidRPr="002E4FA2" w:rsidRDefault="0033231E" w:rsidP="0033231E">
      <w:pPr>
        <w:ind w:left="567"/>
        <w:jc w:val="left"/>
        <w:rPr>
          <w:rFonts w:ascii="Times New Roman" w:hAnsi="Times New Roman"/>
          <w:i/>
          <w:iCs/>
          <w:sz w:val="22"/>
          <w:szCs w:val="22"/>
        </w:rPr>
      </w:pPr>
      <w:r w:rsidRPr="002E4FA2">
        <w:rPr>
          <w:rFonts w:ascii="Times New Roman" w:hAnsi="Times New Roman"/>
          <w:i/>
          <w:iCs/>
          <w:sz w:val="22"/>
          <w:szCs w:val="22"/>
        </w:rPr>
        <w:t xml:space="preserve">UE can be configured with event triggered reporting based on predicted and/or actual measurement result(s). As baseline event type A1~A6 can be predicted and reported. UE can report measurement results, predicted measurement event together with its timing related information. When UE is configured with intra-frequency temporal domain case B or inter-frequency prediction, UE reports measurement event by following existing </w:t>
      </w:r>
      <w:proofErr w:type="spellStart"/>
      <w:r w:rsidRPr="002E4FA2">
        <w:rPr>
          <w:rFonts w:ascii="Times New Roman" w:hAnsi="Times New Roman"/>
          <w:i/>
          <w:iCs/>
          <w:sz w:val="22"/>
          <w:szCs w:val="22"/>
        </w:rPr>
        <w:t>measurementReport</w:t>
      </w:r>
      <w:proofErr w:type="spellEnd"/>
      <w:r w:rsidRPr="002E4FA2">
        <w:rPr>
          <w:rFonts w:ascii="Times New Roman" w:hAnsi="Times New Roman"/>
          <w:i/>
          <w:iCs/>
          <w:sz w:val="22"/>
          <w:szCs w:val="22"/>
        </w:rPr>
        <w:t xml:space="preserve"> message. This can be achieved without specification impact.</w:t>
      </w:r>
    </w:p>
    <w:p w14:paraId="0BCC71E0" w14:textId="0AA60C89" w:rsidR="00EC1264" w:rsidRPr="002E4FA2" w:rsidRDefault="005B18D6" w:rsidP="0033231E">
      <w:pPr>
        <w:jc w:val="left"/>
        <w:rPr>
          <w:rFonts w:ascii="Times New Roman" w:hAnsi="Times New Roman"/>
          <w:sz w:val="22"/>
          <w:szCs w:val="22"/>
        </w:rPr>
      </w:pPr>
      <w:r w:rsidRPr="002E4FA2">
        <w:rPr>
          <w:rFonts w:ascii="Times New Roman" w:hAnsi="Times New Roman"/>
          <w:sz w:val="22"/>
          <w:szCs w:val="22"/>
        </w:rPr>
        <w:t>M</w:t>
      </w:r>
      <w:r w:rsidR="000E4B76" w:rsidRPr="002E4FA2">
        <w:rPr>
          <w:rFonts w:ascii="Times New Roman" w:hAnsi="Times New Roman"/>
          <w:sz w:val="22"/>
          <w:szCs w:val="22"/>
        </w:rPr>
        <w:t>ost of the</w:t>
      </w:r>
      <w:r w:rsidR="00E305E6" w:rsidRPr="002E4FA2">
        <w:rPr>
          <w:rFonts w:ascii="Times New Roman" w:hAnsi="Times New Roman"/>
          <w:sz w:val="22"/>
          <w:szCs w:val="22"/>
        </w:rPr>
        <w:t xml:space="preserve"> agreem</w:t>
      </w:r>
      <w:r w:rsidRPr="002E4FA2">
        <w:rPr>
          <w:rFonts w:ascii="Times New Roman" w:hAnsi="Times New Roman"/>
          <w:sz w:val="22"/>
          <w:szCs w:val="22"/>
        </w:rPr>
        <w:t>e</w:t>
      </w:r>
      <w:r w:rsidR="00E305E6" w:rsidRPr="002E4FA2">
        <w:rPr>
          <w:rFonts w:ascii="Times New Roman" w:hAnsi="Times New Roman"/>
          <w:sz w:val="22"/>
          <w:szCs w:val="22"/>
        </w:rPr>
        <w:t>nt</w:t>
      </w:r>
      <w:r w:rsidRPr="002E4FA2">
        <w:rPr>
          <w:rFonts w:ascii="Times New Roman" w:hAnsi="Times New Roman"/>
          <w:sz w:val="22"/>
          <w:szCs w:val="22"/>
        </w:rPr>
        <w:t>s</w:t>
      </w:r>
      <w:r w:rsidR="000E4B76" w:rsidRPr="002E4FA2">
        <w:rPr>
          <w:rFonts w:ascii="Times New Roman" w:hAnsi="Times New Roman"/>
          <w:sz w:val="22"/>
          <w:szCs w:val="22"/>
        </w:rPr>
        <w:t xml:space="preserve"> </w:t>
      </w:r>
      <w:r w:rsidR="000F3897">
        <w:rPr>
          <w:rFonts w:ascii="Times New Roman" w:hAnsi="Times New Roman"/>
          <w:sz w:val="22"/>
          <w:szCs w:val="22"/>
        </w:rPr>
        <w:t xml:space="preserve">for RRM measurement prediction </w:t>
      </w:r>
      <w:r w:rsidR="000E4B76" w:rsidRPr="002E4FA2">
        <w:rPr>
          <w:rFonts w:ascii="Times New Roman" w:hAnsi="Times New Roman"/>
          <w:sz w:val="22"/>
          <w:szCs w:val="22"/>
        </w:rPr>
        <w:t xml:space="preserve">are </w:t>
      </w:r>
      <w:r w:rsidRPr="002E4FA2">
        <w:rPr>
          <w:rFonts w:ascii="Times New Roman" w:hAnsi="Times New Roman"/>
          <w:sz w:val="22"/>
          <w:szCs w:val="22"/>
        </w:rPr>
        <w:t xml:space="preserve">also </w:t>
      </w:r>
      <w:r w:rsidR="000E4B76" w:rsidRPr="002E4FA2">
        <w:rPr>
          <w:rFonts w:ascii="Times New Roman" w:hAnsi="Times New Roman"/>
          <w:sz w:val="22"/>
          <w:szCs w:val="22"/>
        </w:rPr>
        <w:t xml:space="preserve">applicable for the case </w:t>
      </w:r>
      <w:r w:rsidR="00057E99" w:rsidRPr="002E4FA2">
        <w:rPr>
          <w:rFonts w:ascii="Times New Roman" w:hAnsi="Times New Roman"/>
          <w:sz w:val="22"/>
          <w:szCs w:val="22"/>
        </w:rPr>
        <w:t>of indirect RRM mea</w:t>
      </w:r>
      <w:r w:rsidR="0098462A" w:rsidRPr="002E4FA2">
        <w:rPr>
          <w:rFonts w:ascii="Times New Roman" w:hAnsi="Times New Roman"/>
          <w:sz w:val="22"/>
          <w:szCs w:val="22"/>
        </w:rPr>
        <w:t>surement</w:t>
      </w:r>
      <w:r w:rsidR="00057E99" w:rsidRPr="002E4FA2">
        <w:rPr>
          <w:rFonts w:ascii="Times New Roman" w:hAnsi="Times New Roman"/>
          <w:sz w:val="22"/>
          <w:szCs w:val="22"/>
        </w:rPr>
        <w:t xml:space="preserve"> event prediction</w:t>
      </w:r>
      <w:r w:rsidR="00A92C6E" w:rsidRPr="002E4FA2">
        <w:rPr>
          <w:rFonts w:ascii="Times New Roman" w:hAnsi="Times New Roman"/>
          <w:sz w:val="22"/>
          <w:szCs w:val="22"/>
        </w:rPr>
        <w:t xml:space="preserve">, as </w:t>
      </w:r>
      <w:r w:rsidR="002C3938" w:rsidRPr="002E4FA2">
        <w:rPr>
          <w:rFonts w:ascii="Times New Roman" w:hAnsi="Times New Roman"/>
          <w:sz w:val="22"/>
          <w:szCs w:val="22"/>
        </w:rPr>
        <w:t xml:space="preserve">discussed above, </w:t>
      </w:r>
      <w:r w:rsidR="00A92C6E" w:rsidRPr="002E4FA2">
        <w:rPr>
          <w:rFonts w:ascii="Times New Roman" w:hAnsi="Times New Roman"/>
          <w:sz w:val="22"/>
          <w:szCs w:val="22"/>
        </w:rPr>
        <w:t>this case depends on post-processing RRM measurement prediction</w:t>
      </w:r>
      <w:r w:rsidR="004A76D5" w:rsidRPr="002E4FA2">
        <w:rPr>
          <w:rFonts w:ascii="Times New Roman" w:hAnsi="Times New Roman"/>
          <w:sz w:val="22"/>
          <w:szCs w:val="22"/>
        </w:rPr>
        <w:t>s</w:t>
      </w:r>
      <w:r w:rsidR="000E4B76" w:rsidRPr="002E4FA2">
        <w:rPr>
          <w:rFonts w:ascii="Times New Roman" w:hAnsi="Times New Roman"/>
          <w:sz w:val="22"/>
          <w:szCs w:val="22"/>
        </w:rPr>
        <w:t>.</w:t>
      </w:r>
    </w:p>
    <w:p w14:paraId="1ED84996" w14:textId="5FDA42F0" w:rsidR="009817C9" w:rsidRPr="002E4FA2" w:rsidRDefault="009817C9" w:rsidP="0033231E">
      <w:pPr>
        <w:tabs>
          <w:tab w:val="left" w:pos="1377"/>
        </w:tabs>
        <w:ind w:left="1354" w:hanging="1354"/>
        <w:jc w:val="left"/>
        <w:rPr>
          <w:rFonts w:ascii="Times New Roman" w:hAnsi="Times New Roman"/>
          <w:bCs/>
          <w:i/>
          <w:iCs/>
          <w:sz w:val="22"/>
          <w:szCs w:val="22"/>
        </w:rPr>
      </w:pPr>
      <w:r w:rsidRPr="002E4FA2">
        <w:rPr>
          <w:rFonts w:ascii="Times New Roman" w:hAnsi="Times New Roman"/>
          <w:b/>
          <w:i/>
          <w:iCs/>
          <w:sz w:val="22"/>
          <w:szCs w:val="22"/>
        </w:rPr>
        <w:t>Observation 4:</w:t>
      </w:r>
      <w:r w:rsidRPr="002E4FA2">
        <w:rPr>
          <w:rFonts w:ascii="Times New Roman" w:hAnsi="Times New Roman"/>
          <w:bCs/>
          <w:i/>
          <w:iCs/>
          <w:sz w:val="22"/>
          <w:szCs w:val="22"/>
        </w:rPr>
        <w:t xml:space="preserve"> Except for aspects like spatial prediction that are not within the scope of the Rel-20 WI, most of the agreements that are captured in </w:t>
      </w:r>
      <w:r w:rsidR="002F2897" w:rsidRPr="002E4FA2">
        <w:rPr>
          <w:rFonts w:ascii="Times New Roman" w:hAnsi="Times New Roman"/>
          <w:sz w:val="22"/>
          <w:szCs w:val="22"/>
        </w:rPr>
        <w:t xml:space="preserve">TR 38.744 </w:t>
      </w:r>
      <w:r w:rsidRPr="002E4FA2">
        <w:rPr>
          <w:rFonts w:ascii="Times New Roman" w:hAnsi="Times New Roman"/>
          <w:bCs/>
          <w:i/>
          <w:iCs/>
          <w:sz w:val="22"/>
          <w:szCs w:val="22"/>
        </w:rPr>
        <w:t xml:space="preserve">for inference configuration/reporting of RRM measurement prediction can be already confirmed in RAN2. </w:t>
      </w:r>
    </w:p>
    <w:p w14:paraId="2ED50DB1" w14:textId="7C3E6CDB" w:rsidR="0079570C" w:rsidRPr="002E4FA2" w:rsidRDefault="002F2897" w:rsidP="0033231E">
      <w:pPr>
        <w:tabs>
          <w:tab w:val="left" w:pos="1377"/>
        </w:tabs>
        <w:ind w:left="1354" w:hanging="1354"/>
        <w:jc w:val="left"/>
        <w:rPr>
          <w:rFonts w:ascii="Times New Roman" w:hAnsi="Times New Roman"/>
          <w:bCs/>
          <w:i/>
          <w:iCs/>
          <w:sz w:val="22"/>
          <w:szCs w:val="22"/>
        </w:rPr>
      </w:pPr>
      <w:r w:rsidRPr="002E4FA2">
        <w:rPr>
          <w:rFonts w:ascii="Times New Roman" w:hAnsi="Times New Roman"/>
          <w:b/>
          <w:i/>
          <w:iCs/>
          <w:sz w:val="22"/>
          <w:szCs w:val="22"/>
        </w:rPr>
        <w:t>Observation 5:</w:t>
      </w:r>
      <w:r w:rsidR="0074220C" w:rsidRPr="002E4FA2">
        <w:rPr>
          <w:rFonts w:ascii="Times New Roman" w:hAnsi="Times New Roman"/>
          <w:bCs/>
          <w:i/>
          <w:iCs/>
          <w:sz w:val="22"/>
          <w:szCs w:val="22"/>
        </w:rPr>
        <w:t xml:space="preserve"> By extension, any such agreements </w:t>
      </w:r>
      <w:r w:rsidR="00675DBC" w:rsidRPr="002E4FA2">
        <w:rPr>
          <w:rFonts w:ascii="Times New Roman" w:hAnsi="Times New Roman"/>
          <w:bCs/>
          <w:i/>
          <w:iCs/>
          <w:sz w:val="22"/>
          <w:szCs w:val="22"/>
        </w:rPr>
        <w:t xml:space="preserve">are </w:t>
      </w:r>
      <w:r w:rsidR="00DA3BBD">
        <w:rPr>
          <w:rFonts w:ascii="Times New Roman" w:hAnsi="Times New Roman"/>
          <w:bCs/>
          <w:i/>
          <w:iCs/>
          <w:sz w:val="22"/>
          <w:szCs w:val="22"/>
        </w:rPr>
        <w:t xml:space="preserve">also </w:t>
      </w:r>
      <w:r w:rsidR="00675DBC" w:rsidRPr="002E4FA2">
        <w:rPr>
          <w:rFonts w:ascii="Times New Roman" w:hAnsi="Times New Roman"/>
          <w:bCs/>
          <w:i/>
          <w:iCs/>
          <w:sz w:val="22"/>
          <w:szCs w:val="22"/>
        </w:rPr>
        <w:t>applicable to the case of indirect RRM measurement event</w:t>
      </w:r>
      <w:r w:rsidR="009F2631">
        <w:rPr>
          <w:rFonts w:ascii="Times New Roman" w:hAnsi="Times New Roman"/>
          <w:bCs/>
          <w:i/>
          <w:iCs/>
          <w:sz w:val="22"/>
          <w:szCs w:val="22"/>
        </w:rPr>
        <w:t xml:space="preserve"> prediction</w:t>
      </w:r>
      <w:r w:rsidR="00675DBC" w:rsidRPr="002E4FA2">
        <w:rPr>
          <w:rFonts w:ascii="Times New Roman" w:hAnsi="Times New Roman"/>
          <w:bCs/>
          <w:i/>
          <w:iCs/>
          <w:sz w:val="22"/>
          <w:szCs w:val="22"/>
        </w:rPr>
        <w:t>.</w:t>
      </w:r>
    </w:p>
    <w:p w14:paraId="21934331" w14:textId="3F5A418D" w:rsidR="00567A53" w:rsidRPr="002E4FA2" w:rsidRDefault="00567A53" w:rsidP="0033231E">
      <w:pPr>
        <w:jc w:val="left"/>
        <w:rPr>
          <w:rFonts w:ascii="Times New Roman" w:hAnsi="Times New Roman"/>
          <w:sz w:val="22"/>
          <w:szCs w:val="22"/>
        </w:rPr>
      </w:pPr>
      <w:r w:rsidRPr="002E4FA2">
        <w:rPr>
          <w:rFonts w:ascii="Times New Roman" w:hAnsi="Times New Roman"/>
          <w:sz w:val="22"/>
          <w:szCs w:val="22"/>
        </w:rPr>
        <w:t>Thus, we propose the following:</w:t>
      </w:r>
    </w:p>
    <w:p w14:paraId="632F5523" w14:textId="08093AFA" w:rsidR="00444ACD" w:rsidRPr="002E4FA2" w:rsidRDefault="00444ACD" w:rsidP="0033231E">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t>Proposal 4</w:t>
      </w:r>
      <w:r w:rsidRPr="002E4FA2">
        <w:rPr>
          <w:rFonts w:ascii="Times New Roman" w:hAnsi="Times New Roman"/>
          <w:b/>
          <w:i/>
          <w:iCs/>
          <w:sz w:val="22"/>
          <w:szCs w:val="22"/>
        </w:rPr>
        <w:t xml:space="preserve">: RAN2 to confirm that the RRM measurement configuration and reporting framework </w:t>
      </w:r>
      <w:r w:rsidR="003779E9" w:rsidRPr="002E4FA2">
        <w:rPr>
          <w:rFonts w:ascii="Times New Roman" w:hAnsi="Times New Roman"/>
          <w:b/>
          <w:i/>
          <w:iCs/>
          <w:sz w:val="22"/>
          <w:szCs w:val="22"/>
        </w:rPr>
        <w:t>based on</w:t>
      </w:r>
      <w:r w:rsidR="00EE2373" w:rsidRPr="002E4FA2">
        <w:rPr>
          <w:rFonts w:ascii="Times New Roman" w:hAnsi="Times New Roman"/>
          <w:b/>
          <w:i/>
          <w:iCs/>
          <w:sz w:val="22"/>
          <w:szCs w:val="22"/>
        </w:rPr>
        <w:t xml:space="preserve"> the</w:t>
      </w:r>
      <w:r w:rsidRPr="002E4FA2">
        <w:rPr>
          <w:rFonts w:ascii="Times New Roman" w:hAnsi="Times New Roman"/>
          <w:b/>
          <w:i/>
          <w:iCs/>
          <w:sz w:val="22"/>
          <w:szCs w:val="22"/>
        </w:rPr>
        <w:t xml:space="preserve"> RRC layer is </w:t>
      </w:r>
      <w:r w:rsidR="00820CBD" w:rsidRPr="002E4FA2">
        <w:rPr>
          <w:rFonts w:ascii="Times New Roman" w:hAnsi="Times New Roman"/>
          <w:b/>
          <w:i/>
          <w:iCs/>
          <w:sz w:val="22"/>
          <w:szCs w:val="22"/>
        </w:rPr>
        <w:t xml:space="preserve">the </w:t>
      </w:r>
      <w:r w:rsidRPr="002E4FA2">
        <w:rPr>
          <w:rFonts w:ascii="Times New Roman" w:hAnsi="Times New Roman"/>
          <w:b/>
          <w:i/>
          <w:iCs/>
          <w:sz w:val="22"/>
          <w:szCs w:val="22"/>
        </w:rPr>
        <w:t xml:space="preserve">baseline for inference configuration and reporting for </w:t>
      </w:r>
      <w:r w:rsidR="00DF294E" w:rsidRPr="002E4FA2">
        <w:rPr>
          <w:rFonts w:ascii="Times New Roman" w:hAnsi="Times New Roman"/>
          <w:b/>
          <w:i/>
          <w:iCs/>
          <w:sz w:val="22"/>
          <w:szCs w:val="22"/>
        </w:rPr>
        <w:t xml:space="preserve">indirect </w:t>
      </w:r>
      <w:r w:rsidR="00A11829" w:rsidRPr="002E4FA2">
        <w:rPr>
          <w:rFonts w:ascii="Times New Roman" w:hAnsi="Times New Roman"/>
          <w:b/>
          <w:i/>
          <w:iCs/>
          <w:sz w:val="22"/>
          <w:szCs w:val="22"/>
        </w:rPr>
        <w:t>RRM measurement event prediction.</w:t>
      </w:r>
    </w:p>
    <w:p w14:paraId="5FD7B867" w14:textId="3B028993" w:rsidR="00967BCC" w:rsidRPr="00786702" w:rsidRDefault="00967BCC" w:rsidP="0033231E">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t>Proposal 5</w:t>
      </w:r>
      <w:r w:rsidRPr="00786702">
        <w:rPr>
          <w:rFonts w:ascii="Times New Roman" w:hAnsi="Times New Roman"/>
          <w:b/>
          <w:i/>
          <w:iCs/>
          <w:sz w:val="22"/>
          <w:szCs w:val="22"/>
        </w:rPr>
        <w:t xml:space="preserve">: RAN2 to confirm that the UE can be configured with the following </w:t>
      </w:r>
      <w:r w:rsidR="009E0434" w:rsidRPr="00786702">
        <w:rPr>
          <w:rFonts w:ascii="Times New Roman" w:hAnsi="Times New Roman"/>
          <w:b/>
          <w:i/>
          <w:iCs/>
          <w:sz w:val="22"/>
          <w:szCs w:val="22"/>
        </w:rPr>
        <w:t xml:space="preserve">parameters for the case of </w:t>
      </w:r>
      <w:r w:rsidR="00F27ABF">
        <w:rPr>
          <w:rFonts w:ascii="Times New Roman" w:hAnsi="Times New Roman"/>
          <w:b/>
          <w:i/>
          <w:iCs/>
          <w:sz w:val="22"/>
          <w:szCs w:val="22"/>
        </w:rPr>
        <w:t xml:space="preserve">indirect </w:t>
      </w:r>
      <w:r w:rsidR="009E0434" w:rsidRPr="00786702">
        <w:rPr>
          <w:rFonts w:ascii="Times New Roman" w:hAnsi="Times New Roman"/>
          <w:b/>
          <w:i/>
          <w:iCs/>
          <w:sz w:val="22"/>
          <w:szCs w:val="22"/>
        </w:rPr>
        <w:t>RRM measurement event prediction:</w:t>
      </w:r>
    </w:p>
    <w:p w14:paraId="71CA266D" w14:textId="6B64A1F8" w:rsidR="00967BCC" w:rsidRPr="00786702" w:rsidRDefault="00967BCC" w:rsidP="0033231E">
      <w:pPr>
        <w:pStyle w:val="ListParagraph"/>
        <w:numPr>
          <w:ilvl w:val="0"/>
          <w:numId w:val="24"/>
        </w:numPr>
        <w:tabs>
          <w:tab w:val="left" w:pos="1377"/>
        </w:tabs>
        <w:jc w:val="left"/>
        <w:rPr>
          <w:rFonts w:ascii="Times New Roman" w:hAnsi="Times New Roman"/>
          <w:b/>
          <w:i/>
          <w:iCs/>
          <w:sz w:val="22"/>
          <w:szCs w:val="22"/>
        </w:rPr>
      </w:pPr>
      <w:r w:rsidRPr="00786702">
        <w:rPr>
          <w:rFonts w:ascii="Times New Roman" w:hAnsi="Times New Roman"/>
          <w:b/>
          <w:i/>
          <w:iCs/>
          <w:sz w:val="22"/>
          <w:szCs w:val="22"/>
        </w:rPr>
        <w:t>Prediction window length</w:t>
      </w:r>
    </w:p>
    <w:p w14:paraId="586CA29A" w14:textId="344142DA" w:rsidR="00FE525A" w:rsidRPr="00786702" w:rsidRDefault="00FE525A" w:rsidP="0033231E">
      <w:pPr>
        <w:pStyle w:val="ListParagraph"/>
        <w:numPr>
          <w:ilvl w:val="0"/>
          <w:numId w:val="24"/>
        </w:numPr>
        <w:tabs>
          <w:tab w:val="left" w:pos="1377"/>
        </w:tabs>
        <w:jc w:val="left"/>
        <w:rPr>
          <w:rFonts w:ascii="Times New Roman" w:hAnsi="Times New Roman"/>
          <w:b/>
          <w:i/>
          <w:iCs/>
          <w:sz w:val="22"/>
          <w:szCs w:val="22"/>
        </w:rPr>
      </w:pPr>
      <w:r w:rsidRPr="00786702">
        <w:rPr>
          <w:rFonts w:ascii="Times New Roman" w:hAnsi="Times New Roman"/>
          <w:b/>
          <w:i/>
          <w:iCs/>
          <w:sz w:val="22"/>
          <w:szCs w:val="22"/>
        </w:rPr>
        <w:t>Event-related parameters (e.g., event type</w:t>
      </w:r>
      <w:r w:rsidR="00DB57A1" w:rsidRPr="00786702">
        <w:rPr>
          <w:rFonts w:ascii="Times New Roman" w:hAnsi="Times New Roman"/>
          <w:b/>
          <w:i/>
          <w:iCs/>
          <w:sz w:val="22"/>
          <w:szCs w:val="22"/>
        </w:rPr>
        <w:t xml:space="preserve"> and other event-related parameters such as TTT, etc.</w:t>
      </w:r>
      <w:r w:rsidRPr="00786702">
        <w:rPr>
          <w:rFonts w:ascii="Times New Roman" w:hAnsi="Times New Roman"/>
          <w:b/>
          <w:i/>
          <w:iCs/>
          <w:sz w:val="22"/>
          <w:szCs w:val="22"/>
        </w:rPr>
        <w:t>)</w:t>
      </w:r>
    </w:p>
    <w:p w14:paraId="7F3858C0" w14:textId="01ADC7A7" w:rsidR="009817C9" w:rsidRPr="00F27ABF" w:rsidRDefault="00967BCC" w:rsidP="0033231E">
      <w:pPr>
        <w:pStyle w:val="ListParagraph"/>
        <w:numPr>
          <w:ilvl w:val="0"/>
          <w:numId w:val="24"/>
        </w:numPr>
        <w:tabs>
          <w:tab w:val="left" w:pos="1377"/>
        </w:tabs>
        <w:jc w:val="left"/>
        <w:rPr>
          <w:rFonts w:ascii="Times New Roman" w:hAnsi="Times New Roman"/>
          <w:b/>
          <w:i/>
          <w:iCs/>
          <w:sz w:val="22"/>
          <w:szCs w:val="22"/>
        </w:rPr>
      </w:pPr>
      <w:r w:rsidRPr="00F27ABF">
        <w:rPr>
          <w:rFonts w:ascii="Times New Roman" w:hAnsi="Times New Roman"/>
          <w:b/>
          <w:i/>
          <w:iCs/>
          <w:sz w:val="22"/>
          <w:szCs w:val="22"/>
        </w:rPr>
        <w:t>(optional) list of cells for which network expects inference report and their corresponding associated ID</w:t>
      </w:r>
    </w:p>
    <w:p w14:paraId="6BBEF32C" w14:textId="5664F269" w:rsidR="00F906E1" w:rsidRPr="00786702" w:rsidRDefault="00FF2B05" w:rsidP="0033231E">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t xml:space="preserve">Proposal </w:t>
      </w:r>
      <w:r w:rsidR="009B2521" w:rsidRPr="005F1FF6">
        <w:rPr>
          <w:rFonts w:ascii="Times New Roman" w:hAnsi="Times New Roman"/>
          <w:b/>
          <w:sz w:val="22"/>
          <w:szCs w:val="22"/>
          <w:u w:val="single"/>
        </w:rPr>
        <w:t>6</w:t>
      </w:r>
      <w:r w:rsidRPr="005F1FF6">
        <w:rPr>
          <w:rFonts w:ascii="Times New Roman" w:hAnsi="Times New Roman"/>
          <w:b/>
          <w:i/>
          <w:iCs/>
          <w:sz w:val="22"/>
          <w:szCs w:val="22"/>
        </w:rPr>
        <w:t xml:space="preserve">: RAN2 to confirm that </w:t>
      </w:r>
      <w:r w:rsidR="0080708C" w:rsidRPr="005F1FF6">
        <w:rPr>
          <w:rFonts w:ascii="Times New Roman" w:hAnsi="Times New Roman"/>
          <w:b/>
          <w:i/>
          <w:iCs/>
          <w:sz w:val="22"/>
          <w:szCs w:val="22"/>
        </w:rPr>
        <w:t xml:space="preserve">for indirect measurement event predictions, </w:t>
      </w:r>
      <w:r w:rsidRPr="005F1FF6">
        <w:rPr>
          <w:rFonts w:ascii="Times New Roman" w:hAnsi="Times New Roman"/>
          <w:b/>
          <w:i/>
          <w:iCs/>
          <w:sz w:val="22"/>
          <w:szCs w:val="22"/>
        </w:rPr>
        <w:t>the UE can be configured with event triggered</w:t>
      </w:r>
      <w:r w:rsidR="00CD1E64" w:rsidRPr="005F1FF6">
        <w:rPr>
          <w:rFonts w:ascii="Times New Roman" w:hAnsi="Times New Roman"/>
          <w:b/>
          <w:i/>
          <w:iCs/>
          <w:sz w:val="22"/>
          <w:szCs w:val="22"/>
        </w:rPr>
        <w:t xml:space="preserve"> conditions and</w:t>
      </w:r>
      <w:r w:rsidRPr="005F1FF6">
        <w:rPr>
          <w:rFonts w:ascii="Times New Roman" w:hAnsi="Times New Roman"/>
          <w:b/>
          <w:i/>
          <w:iCs/>
          <w:sz w:val="22"/>
          <w:szCs w:val="22"/>
        </w:rPr>
        <w:t xml:space="preserve"> </w:t>
      </w:r>
      <w:r w:rsidR="00450A33" w:rsidRPr="005F1FF6">
        <w:rPr>
          <w:rFonts w:ascii="Times New Roman" w:hAnsi="Times New Roman"/>
          <w:b/>
          <w:i/>
          <w:iCs/>
          <w:sz w:val="22"/>
          <w:szCs w:val="22"/>
        </w:rPr>
        <w:t xml:space="preserve">measurement </w:t>
      </w:r>
      <w:r w:rsidRPr="005F1FF6">
        <w:rPr>
          <w:rFonts w:ascii="Times New Roman" w:hAnsi="Times New Roman"/>
          <w:b/>
          <w:i/>
          <w:iCs/>
          <w:sz w:val="22"/>
          <w:szCs w:val="22"/>
        </w:rPr>
        <w:t xml:space="preserve">reporting </w:t>
      </w:r>
      <w:r w:rsidR="00450A33" w:rsidRPr="005F1FF6">
        <w:rPr>
          <w:rFonts w:ascii="Times New Roman" w:hAnsi="Times New Roman"/>
          <w:b/>
          <w:i/>
          <w:iCs/>
          <w:sz w:val="22"/>
          <w:szCs w:val="22"/>
        </w:rPr>
        <w:t xml:space="preserve">upon event prediction </w:t>
      </w:r>
      <w:r w:rsidR="00E671E2" w:rsidRPr="005F1FF6">
        <w:rPr>
          <w:rFonts w:ascii="Times New Roman" w:hAnsi="Times New Roman"/>
          <w:b/>
          <w:i/>
          <w:iCs/>
          <w:sz w:val="22"/>
          <w:szCs w:val="22"/>
        </w:rPr>
        <w:t>based on</w:t>
      </w:r>
      <w:r w:rsidRPr="005F1FF6">
        <w:rPr>
          <w:rFonts w:ascii="Times New Roman" w:hAnsi="Times New Roman"/>
          <w:b/>
          <w:i/>
          <w:iCs/>
          <w:sz w:val="22"/>
          <w:szCs w:val="22"/>
        </w:rPr>
        <w:t xml:space="preserve"> predicted</w:t>
      </w:r>
      <w:r w:rsidR="00450A33" w:rsidRPr="005F1FF6">
        <w:rPr>
          <w:rFonts w:ascii="Times New Roman" w:hAnsi="Times New Roman"/>
          <w:b/>
          <w:i/>
          <w:iCs/>
          <w:sz w:val="22"/>
          <w:szCs w:val="22"/>
        </w:rPr>
        <w:t xml:space="preserve"> measurements</w:t>
      </w:r>
      <w:r w:rsidR="00235ADF" w:rsidRPr="005F1FF6">
        <w:rPr>
          <w:rFonts w:ascii="Times New Roman" w:hAnsi="Times New Roman"/>
          <w:b/>
          <w:i/>
          <w:iCs/>
          <w:sz w:val="22"/>
          <w:szCs w:val="22"/>
        </w:rPr>
        <w:t xml:space="preserve"> or a combination of actual and predicted measurement</w:t>
      </w:r>
      <w:r w:rsidR="00F6024D" w:rsidRPr="005F1FF6">
        <w:rPr>
          <w:rFonts w:ascii="Times New Roman" w:hAnsi="Times New Roman"/>
          <w:b/>
          <w:i/>
          <w:iCs/>
          <w:sz w:val="22"/>
          <w:szCs w:val="22"/>
        </w:rPr>
        <w:t>s</w:t>
      </w:r>
      <w:r w:rsidRPr="005F1FF6">
        <w:rPr>
          <w:rFonts w:ascii="Times New Roman" w:hAnsi="Times New Roman"/>
          <w:b/>
          <w:i/>
          <w:iCs/>
          <w:sz w:val="22"/>
          <w:szCs w:val="22"/>
        </w:rPr>
        <w:t>.</w:t>
      </w:r>
    </w:p>
    <w:p w14:paraId="2BE8C783" w14:textId="06963529" w:rsidR="00C23C8F" w:rsidRPr="00786702" w:rsidRDefault="00686DE3" w:rsidP="0033231E">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lastRenderedPageBreak/>
        <w:t xml:space="preserve">Proposal </w:t>
      </w:r>
      <w:r w:rsidR="009B2521" w:rsidRPr="005F1FF6">
        <w:rPr>
          <w:rFonts w:ascii="Times New Roman" w:hAnsi="Times New Roman"/>
          <w:b/>
          <w:sz w:val="22"/>
          <w:szCs w:val="22"/>
          <w:u w:val="single"/>
        </w:rPr>
        <w:t>7</w:t>
      </w:r>
      <w:r w:rsidRPr="005F1FF6">
        <w:rPr>
          <w:rFonts w:ascii="Times New Roman" w:hAnsi="Times New Roman"/>
          <w:b/>
          <w:sz w:val="22"/>
          <w:szCs w:val="22"/>
          <w:u w:val="single"/>
        </w:rPr>
        <w:t>:</w:t>
      </w:r>
      <w:r w:rsidRPr="00786702">
        <w:rPr>
          <w:rFonts w:ascii="Times New Roman" w:hAnsi="Times New Roman"/>
          <w:b/>
          <w:i/>
          <w:iCs/>
          <w:sz w:val="22"/>
          <w:szCs w:val="22"/>
        </w:rPr>
        <w:t xml:space="preserve"> RAN2 to confirm</w:t>
      </w:r>
      <w:r w:rsidR="00A0058F" w:rsidRPr="00786702">
        <w:rPr>
          <w:rFonts w:ascii="Times New Roman" w:hAnsi="Times New Roman"/>
          <w:b/>
          <w:i/>
          <w:iCs/>
          <w:sz w:val="22"/>
          <w:szCs w:val="22"/>
        </w:rPr>
        <w:t xml:space="preserve"> </w:t>
      </w:r>
      <w:r w:rsidR="005F1FF6">
        <w:rPr>
          <w:rFonts w:ascii="Times New Roman" w:hAnsi="Times New Roman"/>
          <w:b/>
          <w:i/>
          <w:iCs/>
          <w:sz w:val="22"/>
          <w:szCs w:val="22"/>
        </w:rPr>
        <w:t xml:space="preserve">that </w:t>
      </w:r>
      <w:r w:rsidR="00A0058F" w:rsidRPr="00786702">
        <w:rPr>
          <w:rFonts w:ascii="Times New Roman" w:hAnsi="Times New Roman"/>
          <w:b/>
          <w:i/>
          <w:iCs/>
          <w:sz w:val="22"/>
          <w:szCs w:val="22"/>
        </w:rPr>
        <w:t>for the case of indirect RRM measurement event prediction</w:t>
      </w:r>
      <w:r w:rsidR="00E56FD4" w:rsidRPr="00786702">
        <w:rPr>
          <w:rFonts w:ascii="Times New Roman" w:hAnsi="Times New Roman"/>
          <w:b/>
          <w:i/>
          <w:iCs/>
          <w:sz w:val="22"/>
          <w:szCs w:val="22"/>
        </w:rPr>
        <w:t xml:space="preserve">, </w:t>
      </w:r>
      <w:r w:rsidR="00A0058F" w:rsidRPr="00786702">
        <w:rPr>
          <w:rFonts w:ascii="Times New Roman" w:hAnsi="Times New Roman"/>
          <w:b/>
          <w:i/>
          <w:iCs/>
          <w:sz w:val="22"/>
          <w:szCs w:val="22"/>
        </w:rPr>
        <w:t>the information in the measurement report</w:t>
      </w:r>
      <w:r w:rsidR="00E56FD4" w:rsidRPr="00786702">
        <w:rPr>
          <w:rFonts w:ascii="Times New Roman" w:hAnsi="Times New Roman"/>
          <w:b/>
          <w:i/>
          <w:iCs/>
          <w:sz w:val="22"/>
          <w:szCs w:val="22"/>
        </w:rPr>
        <w:t xml:space="preserve"> </w:t>
      </w:r>
      <w:r w:rsidR="000C39FC">
        <w:rPr>
          <w:rFonts w:ascii="Times New Roman" w:hAnsi="Times New Roman"/>
          <w:b/>
          <w:i/>
          <w:iCs/>
          <w:sz w:val="22"/>
          <w:szCs w:val="22"/>
        </w:rPr>
        <w:t xml:space="preserve">sent upon event prediction </w:t>
      </w:r>
      <w:r w:rsidR="00E56FD4" w:rsidRPr="00786702">
        <w:rPr>
          <w:rFonts w:ascii="Times New Roman" w:hAnsi="Times New Roman"/>
          <w:b/>
          <w:i/>
          <w:iCs/>
          <w:sz w:val="22"/>
          <w:szCs w:val="22"/>
        </w:rPr>
        <w:t>includes</w:t>
      </w:r>
      <w:r w:rsidR="00A0058F" w:rsidRPr="00786702">
        <w:rPr>
          <w:rFonts w:ascii="Times New Roman" w:hAnsi="Times New Roman"/>
          <w:b/>
          <w:i/>
          <w:iCs/>
          <w:sz w:val="22"/>
          <w:szCs w:val="22"/>
        </w:rPr>
        <w:t>:</w:t>
      </w:r>
    </w:p>
    <w:p w14:paraId="0154E986" w14:textId="57ECB1CC" w:rsidR="00FE2D55" w:rsidRPr="00786702" w:rsidRDefault="00FE2D55" w:rsidP="0033231E">
      <w:pPr>
        <w:pStyle w:val="ListParagraph"/>
        <w:numPr>
          <w:ilvl w:val="0"/>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 xml:space="preserve">RRM measurement results (actual and/or predicted) based on the respective RRM </w:t>
      </w:r>
      <w:r w:rsidR="003F1CCE" w:rsidRPr="00786702">
        <w:rPr>
          <w:rFonts w:ascii="Times New Roman" w:hAnsi="Times New Roman"/>
          <w:b/>
          <w:i/>
          <w:iCs/>
          <w:sz w:val="22"/>
          <w:szCs w:val="22"/>
        </w:rPr>
        <w:t>measurement</w:t>
      </w:r>
      <w:r w:rsidRPr="00786702">
        <w:rPr>
          <w:rFonts w:ascii="Times New Roman" w:hAnsi="Times New Roman"/>
          <w:b/>
          <w:i/>
          <w:iCs/>
          <w:sz w:val="22"/>
          <w:szCs w:val="22"/>
        </w:rPr>
        <w:t xml:space="preserve"> prediction </w:t>
      </w:r>
      <w:r w:rsidR="00817728">
        <w:rPr>
          <w:rFonts w:ascii="Times New Roman" w:hAnsi="Times New Roman"/>
          <w:b/>
          <w:i/>
          <w:iCs/>
          <w:sz w:val="22"/>
          <w:szCs w:val="22"/>
        </w:rPr>
        <w:t xml:space="preserve">sub use </w:t>
      </w:r>
      <w:r w:rsidRPr="00786702">
        <w:rPr>
          <w:rFonts w:ascii="Times New Roman" w:hAnsi="Times New Roman"/>
          <w:b/>
          <w:i/>
          <w:iCs/>
          <w:sz w:val="22"/>
          <w:szCs w:val="22"/>
        </w:rPr>
        <w:t>case:</w:t>
      </w:r>
    </w:p>
    <w:p w14:paraId="6E532933" w14:textId="2B661F63" w:rsidR="00FE2D55" w:rsidRPr="00786702" w:rsidRDefault="00686DE3" w:rsidP="0033231E">
      <w:pPr>
        <w:pStyle w:val="ListParagraph"/>
        <w:numPr>
          <w:ilvl w:val="1"/>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 xml:space="preserve">For intra-frequency temporal domain case A, one or more instances of predicted measurement result(s) in </w:t>
      </w:r>
      <w:r w:rsidR="00A814A8">
        <w:rPr>
          <w:rFonts w:ascii="Times New Roman" w:hAnsi="Times New Roman"/>
          <w:b/>
          <w:i/>
          <w:iCs/>
          <w:sz w:val="22"/>
          <w:szCs w:val="22"/>
        </w:rPr>
        <w:t xml:space="preserve">the </w:t>
      </w:r>
      <w:r w:rsidRPr="00786702">
        <w:rPr>
          <w:rFonts w:ascii="Times New Roman" w:hAnsi="Times New Roman"/>
          <w:b/>
          <w:i/>
          <w:iCs/>
          <w:sz w:val="22"/>
          <w:szCs w:val="22"/>
        </w:rPr>
        <w:t>PW</w:t>
      </w:r>
    </w:p>
    <w:p w14:paraId="4B7AB9C6" w14:textId="07CEF01C" w:rsidR="00FE2D55" w:rsidRPr="00786702" w:rsidRDefault="00686DE3" w:rsidP="0033231E">
      <w:pPr>
        <w:pStyle w:val="ListParagraph"/>
        <w:numPr>
          <w:ilvl w:val="1"/>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For intra-frequency temporal domain case B, the latest actual or predicted measurement result</w:t>
      </w:r>
      <w:r w:rsidR="00A814A8">
        <w:rPr>
          <w:rFonts w:ascii="Times New Roman" w:hAnsi="Times New Roman"/>
          <w:b/>
          <w:i/>
          <w:iCs/>
          <w:sz w:val="22"/>
          <w:szCs w:val="22"/>
        </w:rPr>
        <w:t>(s)</w:t>
      </w:r>
    </w:p>
    <w:p w14:paraId="6B09C97A" w14:textId="1941B880" w:rsidR="00686DE3" w:rsidRPr="00786702" w:rsidRDefault="00686DE3" w:rsidP="0033231E">
      <w:pPr>
        <w:pStyle w:val="ListParagraph"/>
        <w:numPr>
          <w:ilvl w:val="1"/>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For inter-frequency prediction, the latest predicted measurement result.</w:t>
      </w:r>
    </w:p>
    <w:p w14:paraId="1471AA90" w14:textId="3842F250" w:rsidR="00B2264F" w:rsidRPr="004C63AC" w:rsidRDefault="003F1CCE" w:rsidP="0033231E">
      <w:pPr>
        <w:pStyle w:val="ListParagraph"/>
        <w:numPr>
          <w:ilvl w:val="0"/>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 xml:space="preserve">Time-related information about the predicted event (e.g., the </w:t>
      </w:r>
      <w:r w:rsidR="00F372CA" w:rsidRPr="00786702">
        <w:rPr>
          <w:rFonts w:ascii="Times New Roman" w:hAnsi="Times New Roman"/>
          <w:b/>
          <w:i/>
          <w:iCs/>
          <w:sz w:val="22"/>
          <w:szCs w:val="22"/>
        </w:rPr>
        <w:t xml:space="preserve">expected </w:t>
      </w:r>
      <w:r w:rsidRPr="00786702">
        <w:rPr>
          <w:rFonts w:ascii="Times New Roman" w:hAnsi="Times New Roman"/>
          <w:b/>
          <w:i/>
          <w:iCs/>
          <w:sz w:val="22"/>
          <w:szCs w:val="22"/>
        </w:rPr>
        <w:t>time of occurrence)</w:t>
      </w:r>
    </w:p>
    <w:p w14:paraId="4520C91E" w14:textId="20DD6A7F" w:rsidR="004C63AC" w:rsidRPr="00881FE5" w:rsidRDefault="004C63AC" w:rsidP="004C63AC">
      <w:pPr>
        <w:pStyle w:val="Heading2"/>
        <w:rPr>
          <w:sz w:val="28"/>
          <w:szCs w:val="28"/>
        </w:rPr>
      </w:pPr>
      <w:r w:rsidRPr="00881FE5">
        <w:rPr>
          <w:sz w:val="28"/>
          <w:szCs w:val="28"/>
        </w:rPr>
        <w:t>2.</w:t>
      </w:r>
      <w:r w:rsidR="0056695D">
        <w:rPr>
          <w:sz w:val="28"/>
          <w:szCs w:val="28"/>
        </w:rPr>
        <w:t>4</w:t>
      </w:r>
      <w:r w:rsidRPr="00881FE5">
        <w:rPr>
          <w:sz w:val="28"/>
          <w:szCs w:val="28"/>
        </w:rPr>
        <w:t xml:space="preserve"> </w:t>
      </w:r>
      <w:r w:rsidRPr="004C63AC">
        <w:rPr>
          <w:sz w:val="28"/>
          <w:szCs w:val="28"/>
        </w:rPr>
        <w:t>Network side additional condition (associated IDs)</w:t>
      </w:r>
    </w:p>
    <w:p w14:paraId="67A90EF5" w14:textId="1C241ED6" w:rsidR="00B2264F" w:rsidRPr="007B6063" w:rsidRDefault="00B2264F" w:rsidP="0033231E">
      <w:pPr>
        <w:jc w:val="left"/>
        <w:rPr>
          <w:rFonts w:ascii="Times New Roman" w:hAnsi="Times New Roman"/>
          <w:sz w:val="22"/>
          <w:szCs w:val="22"/>
        </w:rPr>
      </w:pPr>
      <w:r w:rsidRPr="007B6063">
        <w:rPr>
          <w:rFonts w:ascii="Times New Roman" w:hAnsi="Times New Roman"/>
          <w:sz w:val="22"/>
          <w:szCs w:val="22"/>
        </w:rPr>
        <w:t xml:space="preserve">In the </w:t>
      </w:r>
      <w:r w:rsidR="00F62783" w:rsidRPr="007B6063">
        <w:rPr>
          <w:rFonts w:ascii="Times New Roman" w:hAnsi="Times New Roman"/>
          <w:sz w:val="22"/>
          <w:szCs w:val="22"/>
        </w:rPr>
        <w:t xml:space="preserve">AIML </w:t>
      </w:r>
      <w:r w:rsidRPr="007B6063">
        <w:rPr>
          <w:rFonts w:ascii="Times New Roman" w:hAnsi="Times New Roman"/>
          <w:sz w:val="22"/>
          <w:szCs w:val="22"/>
        </w:rPr>
        <w:t xml:space="preserve">BM case, the associated ID corresponds to the serving cell where the beams are being predicted. </w:t>
      </w:r>
      <w:r w:rsidR="003F1C3D" w:rsidRPr="007B6063">
        <w:rPr>
          <w:rFonts w:ascii="Times New Roman" w:hAnsi="Times New Roman"/>
          <w:sz w:val="22"/>
          <w:szCs w:val="22"/>
        </w:rPr>
        <w:t xml:space="preserve">On the other hand, </w:t>
      </w:r>
      <w:r w:rsidR="004931D8" w:rsidRPr="007B6063">
        <w:rPr>
          <w:rFonts w:ascii="Times New Roman" w:hAnsi="Times New Roman"/>
          <w:sz w:val="22"/>
          <w:szCs w:val="22"/>
        </w:rPr>
        <w:t>in</w:t>
      </w:r>
      <w:r w:rsidRPr="007B6063">
        <w:rPr>
          <w:rFonts w:ascii="Times New Roman" w:hAnsi="Times New Roman"/>
          <w:sz w:val="22"/>
          <w:szCs w:val="22"/>
        </w:rPr>
        <w:t xml:space="preserve"> the case of AIML mobility, the UE may be configured to perform simultaneous predictions for multiple cells. For example, a UE may perform temporal prediction for the serving cell and multiple </w:t>
      </w:r>
      <w:r w:rsidR="0073417A" w:rsidRPr="007B6063">
        <w:rPr>
          <w:rFonts w:ascii="Times New Roman" w:hAnsi="Times New Roman"/>
          <w:sz w:val="22"/>
          <w:szCs w:val="22"/>
        </w:rPr>
        <w:t>neighbour</w:t>
      </w:r>
      <w:r w:rsidRPr="007B6063">
        <w:rPr>
          <w:rFonts w:ascii="Times New Roman" w:hAnsi="Times New Roman"/>
          <w:sz w:val="22"/>
          <w:szCs w:val="22"/>
        </w:rPr>
        <w:t xml:space="preserve"> cells to be used for indirect RRM measurement event prediction. Likewise, a UE may use RRM measurements from (at least) two cells at the input of its AIML model to evaluate whether an event (e.g., A3) will take place</w:t>
      </w:r>
      <w:r w:rsidR="00B55B1E">
        <w:rPr>
          <w:rFonts w:ascii="Times New Roman" w:hAnsi="Times New Roman"/>
          <w:sz w:val="22"/>
          <w:szCs w:val="22"/>
        </w:rPr>
        <w:t xml:space="preserve">. </w:t>
      </w:r>
      <w:r w:rsidRPr="007B6063">
        <w:rPr>
          <w:rFonts w:ascii="Times New Roman" w:hAnsi="Times New Roman"/>
          <w:sz w:val="22"/>
          <w:szCs w:val="22"/>
        </w:rPr>
        <w:t xml:space="preserve">In such cases, the UE may need to be provided with associated IDs for multiple cells, </w:t>
      </w:r>
      <w:r w:rsidR="00FF10EB" w:rsidRPr="007B6063">
        <w:rPr>
          <w:rFonts w:ascii="Times New Roman" w:hAnsi="Times New Roman"/>
          <w:sz w:val="22"/>
          <w:szCs w:val="22"/>
        </w:rPr>
        <w:t>but</w:t>
      </w:r>
      <w:r w:rsidRPr="007B6063">
        <w:rPr>
          <w:rFonts w:ascii="Times New Roman" w:hAnsi="Times New Roman"/>
          <w:sz w:val="22"/>
          <w:szCs w:val="22"/>
        </w:rPr>
        <w:t xml:space="preserve"> the UE’s </w:t>
      </w:r>
      <w:r w:rsidR="00FF10EB" w:rsidRPr="007B6063">
        <w:rPr>
          <w:rFonts w:ascii="Times New Roman" w:hAnsi="Times New Roman"/>
          <w:sz w:val="22"/>
          <w:szCs w:val="22"/>
        </w:rPr>
        <w:t xml:space="preserve">AIML </w:t>
      </w:r>
      <w:r w:rsidRPr="007B6063">
        <w:rPr>
          <w:rFonts w:ascii="Times New Roman" w:hAnsi="Times New Roman"/>
          <w:sz w:val="22"/>
          <w:szCs w:val="22"/>
        </w:rPr>
        <w:t>model may have been trained only for a subset of these associated IDs.</w:t>
      </w:r>
    </w:p>
    <w:p w14:paraId="5BAFB321" w14:textId="687EB60A" w:rsidR="00B2264F" w:rsidRPr="007B6063" w:rsidRDefault="00B2264F" w:rsidP="0033231E">
      <w:pPr>
        <w:tabs>
          <w:tab w:val="left" w:pos="1377"/>
        </w:tabs>
        <w:ind w:left="1354" w:hanging="1354"/>
        <w:jc w:val="left"/>
        <w:rPr>
          <w:rFonts w:ascii="Times New Roman" w:hAnsi="Times New Roman"/>
          <w:bCs/>
          <w:i/>
          <w:iCs/>
          <w:sz w:val="22"/>
          <w:szCs w:val="22"/>
        </w:rPr>
      </w:pPr>
      <w:r w:rsidRPr="00100DA2">
        <w:rPr>
          <w:rFonts w:ascii="Times New Roman" w:hAnsi="Times New Roman"/>
          <w:b/>
          <w:i/>
          <w:iCs/>
          <w:sz w:val="22"/>
          <w:szCs w:val="22"/>
        </w:rPr>
        <w:t xml:space="preserve">Observation </w:t>
      </w:r>
      <w:r w:rsidR="00FF10EB" w:rsidRPr="00100DA2">
        <w:rPr>
          <w:rFonts w:ascii="Times New Roman" w:hAnsi="Times New Roman"/>
          <w:b/>
          <w:i/>
          <w:iCs/>
          <w:sz w:val="22"/>
          <w:szCs w:val="22"/>
        </w:rPr>
        <w:t>6</w:t>
      </w:r>
      <w:r w:rsidRPr="00100DA2">
        <w:rPr>
          <w:rFonts w:ascii="Times New Roman" w:hAnsi="Times New Roman"/>
          <w:b/>
          <w:i/>
          <w:iCs/>
          <w:sz w:val="22"/>
          <w:szCs w:val="22"/>
        </w:rPr>
        <w:t xml:space="preserve">: </w:t>
      </w:r>
      <w:r w:rsidRPr="007B6063">
        <w:rPr>
          <w:rFonts w:ascii="Times New Roman" w:hAnsi="Times New Roman"/>
          <w:bCs/>
          <w:i/>
          <w:iCs/>
          <w:sz w:val="22"/>
          <w:szCs w:val="22"/>
        </w:rPr>
        <w:t xml:space="preserve">There may be cases in </w:t>
      </w:r>
      <w:r w:rsidR="00F36342">
        <w:rPr>
          <w:rFonts w:ascii="Times New Roman" w:hAnsi="Times New Roman"/>
          <w:bCs/>
          <w:i/>
          <w:iCs/>
          <w:sz w:val="22"/>
          <w:szCs w:val="22"/>
        </w:rPr>
        <w:t xml:space="preserve">indirect </w:t>
      </w:r>
      <w:r w:rsidRPr="007B6063">
        <w:rPr>
          <w:rFonts w:ascii="Times New Roman" w:hAnsi="Times New Roman"/>
          <w:bCs/>
          <w:i/>
          <w:iCs/>
          <w:sz w:val="22"/>
          <w:szCs w:val="22"/>
        </w:rPr>
        <w:t xml:space="preserve">RRM measurement event prediction where there is a partial match between the associated IDs of the input/output cells used during the training of the AIML model and the current associated IDs of the concerned cells. </w:t>
      </w:r>
    </w:p>
    <w:p w14:paraId="7E77E8ED" w14:textId="2D48FF1B" w:rsidR="00B2264F" w:rsidRPr="007B6063" w:rsidRDefault="00B2264F" w:rsidP="0033231E">
      <w:pPr>
        <w:tabs>
          <w:tab w:val="left" w:pos="1377"/>
        </w:tabs>
        <w:jc w:val="left"/>
        <w:rPr>
          <w:rFonts w:ascii="Times New Roman" w:hAnsi="Times New Roman"/>
          <w:sz w:val="22"/>
          <w:szCs w:val="22"/>
        </w:rPr>
      </w:pPr>
      <w:r w:rsidRPr="007B6063">
        <w:rPr>
          <w:rFonts w:ascii="Times New Roman" w:hAnsi="Times New Roman"/>
          <w:sz w:val="22"/>
          <w:szCs w:val="22"/>
        </w:rPr>
        <w:t xml:space="preserve">Like in the </w:t>
      </w:r>
      <w:r w:rsidR="0040289D" w:rsidRPr="007B6063">
        <w:rPr>
          <w:rFonts w:ascii="Times New Roman" w:hAnsi="Times New Roman"/>
          <w:sz w:val="22"/>
          <w:szCs w:val="22"/>
        </w:rPr>
        <w:t xml:space="preserve">AIML </w:t>
      </w:r>
      <w:r w:rsidRPr="007B6063">
        <w:rPr>
          <w:rFonts w:ascii="Times New Roman" w:hAnsi="Times New Roman"/>
          <w:sz w:val="22"/>
          <w:szCs w:val="22"/>
        </w:rPr>
        <w:t xml:space="preserve">BM use case, the UE can determine the applicability of the </w:t>
      </w:r>
      <w:r w:rsidR="00F36342">
        <w:rPr>
          <w:rFonts w:ascii="Times New Roman" w:hAnsi="Times New Roman"/>
          <w:sz w:val="22"/>
          <w:szCs w:val="22"/>
        </w:rPr>
        <w:t xml:space="preserve">indirect </w:t>
      </w:r>
      <w:r w:rsidRPr="007B6063">
        <w:rPr>
          <w:rFonts w:ascii="Times New Roman" w:hAnsi="Times New Roman"/>
          <w:sz w:val="22"/>
          <w:szCs w:val="22"/>
        </w:rPr>
        <w:t xml:space="preserve">RRM measurement event prediction functionality by considering model availability, NW-side additional conditions </w:t>
      </w:r>
      <w:r w:rsidRPr="007B6063">
        <w:rPr>
          <w:rFonts w:ascii="Times New Roman" w:eastAsia="DengXian" w:hAnsi="Times New Roman"/>
          <w:sz w:val="22"/>
          <w:szCs w:val="22"/>
        </w:rPr>
        <w:t>(i.e.,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w:t>
      </w:r>
    </w:p>
    <w:p w14:paraId="343482D5" w14:textId="7AF7C01B" w:rsidR="00654C72" w:rsidRPr="00F84473" w:rsidRDefault="00B2264F" w:rsidP="0033231E">
      <w:pPr>
        <w:tabs>
          <w:tab w:val="left" w:pos="1377"/>
        </w:tabs>
        <w:ind w:left="1170" w:hanging="1170"/>
        <w:jc w:val="left"/>
        <w:rPr>
          <w:rFonts w:ascii="Times New Roman" w:hAnsi="Times New Roman"/>
          <w:b/>
          <w:i/>
          <w:iCs/>
          <w:sz w:val="22"/>
          <w:szCs w:val="22"/>
        </w:rPr>
      </w:pPr>
      <w:r w:rsidRPr="00F36342">
        <w:rPr>
          <w:rFonts w:ascii="Times New Roman" w:hAnsi="Times New Roman"/>
          <w:b/>
          <w:sz w:val="22"/>
          <w:szCs w:val="22"/>
          <w:u w:val="single"/>
        </w:rPr>
        <w:t xml:space="preserve">Proposal </w:t>
      </w:r>
      <w:r w:rsidR="00C35975">
        <w:rPr>
          <w:rFonts w:ascii="Times New Roman" w:hAnsi="Times New Roman"/>
          <w:b/>
          <w:sz w:val="22"/>
          <w:szCs w:val="22"/>
          <w:u w:val="single"/>
        </w:rPr>
        <w:t>8</w:t>
      </w:r>
      <w:r w:rsidRPr="00F36342">
        <w:rPr>
          <w:rFonts w:ascii="Times New Roman" w:hAnsi="Times New Roman"/>
          <w:b/>
          <w:sz w:val="22"/>
          <w:szCs w:val="22"/>
          <w:u w:val="single"/>
        </w:rPr>
        <w:t>:</w:t>
      </w:r>
      <w:r w:rsidRPr="007B6063">
        <w:rPr>
          <w:rFonts w:ascii="Times New Roman" w:hAnsi="Times New Roman"/>
          <w:b/>
          <w:sz w:val="22"/>
          <w:szCs w:val="22"/>
        </w:rPr>
        <w:t xml:space="preserve"> </w:t>
      </w:r>
      <w:r w:rsidRPr="00F84473">
        <w:rPr>
          <w:rFonts w:ascii="Times New Roman" w:hAnsi="Times New Roman"/>
          <w:b/>
          <w:i/>
          <w:iCs/>
          <w:sz w:val="22"/>
          <w:szCs w:val="22"/>
        </w:rPr>
        <w:t>For indirect RRM measurement event prediction, the AIML configuration may be fully applicable, fully non-applicable, or partially applicable.</w:t>
      </w:r>
    </w:p>
    <w:p w14:paraId="0F01445E" w14:textId="68FC486B" w:rsidR="00654C72" w:rsidRPr="00881FE5" w:rsidRDefault="00654C72" w:rsidP="0033231E">
      <w:pPr>
        <w:pStyle w:val="Heading2"/>
        <w:rPr>
          <w:sz w:val="28"/>
          <w:szCs w:val="28"/>
        </w:rPr>
      </w:pPr>
      <w:r w:rsidRPr="00881FE5">
        <w:rPr>
          <w:sz w:val="28"/>
          <w:szCs w:val="28"/>
        </w:rPr>
        <w:t>2.</w:t>
      </w:r>
      <w:r w:rsidR="00B2264F" w:rsidRPr="00881FE5">
        <w:rPr>
          <w:sz w:val="28"/>
          <w:szCs w:val="28"/>
        </w:rPr>
        <w:t>5</w:t>
      </w:r>
      <w:r w:rsidRPr="00881FE5">
        <w:rPr>
          <w:sz w:val="28"/>
          <w:szCs w:val="28"/>
        </w:rPr>
        <w:t xml:space="preserve"> Performing inference</w:t>
      </w:r>
    </w:p>
    <w:p w14:paraId="23CE3934" w14:textId="4B14A1BE" w:rsidR="007D7F7C" w:rsidRPr="002D6AF6" w:rsidRDefault="007D7F7C" w:rsidP="0033231E">
      <w:pPr>
        <w:jc w:val="left"/>
        <w:rPr>
          <w:rFonts w:ascii="Times New Roman" w:eastAsia="DengXian" w:hAnsi="Times New Roman"/>
          <w:sz w:val="22"/>
          <w:szCs w:val="22"/>
        </w:rPr>
      </w:pPr>
      <w:r w:rsidRPr="002D6AF6">
        <w:rPr>
          <w:rFonts w:ascii="Times New Roman" w:eastAsia="DengXian" w:hAnsi="Times New Roman"/>
          <w:sz w:val="22"/>
          <w:szCs w:val="22"/>
        </w:rPr>
        <w:t>In the case of AIML BM, periodic CSI reporting is activated upon configuration, while semi-persistent reporting needs to be activated by MAC CE/DCI and aperiodic CSI reporting can be activated by DCI. However, for</w:t>
      </w:r>
      <w:r w:rsidR="00DB2D4E" w:rsidRPr="002D6AF6">
        <w:rPr>
          <w:rFonts w:ascii="Times New Roman" w:eastAsia="DengXian" w:hAnsi="Times New Roman"/>
          <w:sz w:val="22"/>
          <w:szCs w:val="22"/>
        </w:rPr>
        <w:t xml:space="preserve"> performing </w:t>
      </w:r>
      <w:r w:rsidRPr="002D6AF6">
        <w:rPr>
          <w:rFonts w:ascii="Times New Roman" w:eastAsia="DengXian" w:hAnsi="Times New Roman"/>
          <w:sz w:val="22"/>
          <w:szCs w:val="22"/>
        </w:rPr>
        <w:t>RRM measurements, the activation is always upon the reception of the</w:t>
      </w:r>
      <w:r w:rsidR="00DB2D4E" w:rsidRPr="002D6AF6">
        <w:rPr>
          <w:rFonts w:ascii="Times New Roman" w:eastAsia="DengXian" w:hAnsi="Times New Roman"/>
          <w:sz w:val="22"/>
          <w:szCs w:val="22"/>
        </w:rPr>
        <w:t xml:space="preserve"> respective</w:t>
      </w:r>
      <w:r w:rsidRPr="002D6AF6">
        <w:rPr>
          <w:rFonts w:ascii="Times New Roman" w:eastAsia="DengXian" w:hAnsi="Times New Roman"/>
          <w:sz w:val="22"/>
          <w:szCs w:val="22"/>
        </w:rPr>
        <w:t xml:space="preserve"> configuration.</w:t>
      </w:r>
    </w:p>
    <w:p w14:paraId="6E61D465" w14:textId="36D13369" w:rsidR="00654C72" w:rsidRPr="002D6AF6" w:rsidRDefault="00654C72" w:rsidP="0033231E">
      <w:pPr>
        <w:jc w:val="left"/>
        <w:rPr>
          <w:rFonts w:ascii="Times New Roman" w:eastAsia="DengXian" w:hAnsi="Times New Roman"/>
          <w:sz w:val="22"/>
          <w:szCs w:val="22"/>
        </w:rPr>
      </w:pPr>
      <w:r w:rsidRPr="002D6AF6">
        <w:rPr>
          <w:rFonts w:ascii="Times New Roman" w:eastAsia="DengXian" w:hAnsi="Times New Roman"/>
          <w:sz w:val="22"/>
          <w:szCs w:val="22"/>
        </w:rPr>
        <w:t xml:space="preserve">One approach for the case of </w:t>
      </w:r>
      <w:r w:rsidR="00B61104">
        <w:rPr>
          <w:rFonts w:ascii="Times New Roman" w:eastAsia="DengXian" w:hAnsi="Times New Roman"/>
          <w:sz w:val="22"/>
          <w:szCs w:val="22"/>
        </w:rPr>
        <w:t xml:space="preserve">indirect </w:t>
      </w:r>
      <w:r w:rsidRPr="002D6AF6">
        <w:rPr>
          <w:rFonts w:ascii="Times New Roman" w:eastAsia="DengXian" w:hAnsi="Times New Roman"/>
          <w:sz w:val="22"/>
          <w:szCs w:val="22"/>
        </w:rPr>
        <w:t>RRM measurement event prediction is to apply legacy behavio</w:t>
      </w:r>
      <w:r w:rsidR="00B61104">
        <w:rPr>
          <w:rFonts w:ascii="Times New Roman" w:eastAsia="DengXian" w:hAnsi="Times New Roman"/>
          <w:sz w:val="22"/>
          <w:szCs w:val="22"/>
        </w:rPr>
        <w:t>u</w:t>
      </w:r>
      <w:r w:rsidRPr="002D6AF6">
        <w:rPr>
          <w:rFonts w:ascii="Times New Roman" w:eastAsia="DengXian" w:hAnsi="Times New Roman"/>
          <w:sz w:val="22"/>
          <w:szCs w:val="22"/>
        </w:rPr>
        <w:t xml:space="preserve">r. That is, the UE will start performing the </w:t>
      </w:r>
      <w:r w:rsidR="004F19FA">
        <w:rPr>
          <w:rFonts w:ascii="Times New Roman" w:eastAsia="DengXian" w:hAnsi="Times New Roman"/>
          <w:sz w:val="22"/>
          <w:szCs w:val="22"/>
        </w:rPr>
        <w:t xml:space="preserve">indirect </w:t>
      </w:r>
      <w:r w:rsidR="00B61104">
        <w:rPr>
          <w:rFonts w:ascii="Times New Roman" w:eastAsia="DengXian" w:hAnsi="Times New Roman"/>
          <w:sz w:val="22"/>
          <w:szCs w:val="22"/>
        </w:rPr>
        <w:t>RRM measurement</w:t>
      </w:r>
      <w:r w:rsidR="004F19FA">
        <w:rPr>
          <w:rFonts w:ascii="Times New Roman" w:eastAsia="DengXian" w:hAnsi="Times New Roman"/>
          <w:sz w:val="22"/>
          <w:szCs w:val="22"/>
        </w:rPr>
        <w:t xml:space="preserve"> event</w:t>
      </w:r>
      <w:r w:rsidR="00B61104">
        <w:rPr>
          <w:rFonts w:ascii="Times New Roman" w:eastAsia="DengXian" w:hAnsi="Times New Roman"/>
          <w:sz w:val="22"/>
          <w:szCs w:val="22"/>
        </w:rPr>
        <w:t xml:space="preserve"> </w:t>
      </w:r>
      <w:r w:rsidRPr="002D6AF6">
        <w:rPr>
          <w:rFonts w:ascii="Times New Roman" w:eastAsia="DengXian" w:hAnsi="Times New Roman"/>
          <w:sz w:val="22"/>
          <w:szCs w:val="22"/>
        </w:rPr>
        <w:t>predictions</w:t>
      </w:r>
      <w:r w:rsidR="004F19FA">
        <w:rPr>
          <w:rFonts w:ascii="Times New Roman" w:eastAsia="DengXian" w:hAnsi="Times New Roman"/>
          <w:sz w:val="22"/>
          <w:szCs w:val="22"/>
        </w:rPr>
        <w:t xml:space="preserve"> </w:t>
      </w:r>
      <w:r w:rsidR="00C528FC">
        <w:rPr>
          <w:rFonts w:ascii="Times New Roman" w:eastAsia="DengXian" w:hAnsi="Times New Roman"/>
          <w:sz w:val="22"/>
          <w:szCs w:val="22"/>
        </w:rPr>
        <w:t>if it has an AIML model that is applicable for the provided RRM measurement prediction configuration</w:t>
      </w:r>
      <w:r w:rsidR="00936C42">
        <w:rPr>
          <w:rFonts w:ascii="Times New Roman" w:eastAsia="DengXian" w:hAnsi="Times New Roman"/>
          <w:sz w:val="22"/>
          <w:szCs w:val="22"/>
        </w:rPr>
        <w:t xml:space="preserve"> </w:t>
      </w:r>
      <w:r w:rsidR="00257661">
        <w:rPr>
          <w:rFonts w:ascii="Times New Roman" w:eastAsia="DengXian" w:hAnsi="Times New Roman"/>
          <w:sz w:val="22"/>
          <w:szCs w:val="22"/>
        </w:rPr>
        <w:t xml:space="preserve">(i.e., UE can do the measurement prediction that can be post processed to predicted measurements). </w:t>
      </w:r>
      <w:r w:rsidRPr="002D6AF6">
        <w:rPr>
          <w:rFonts w:ascii="Times New Roman" w:eastAsia="DengXian" w:hAnsi="Times New Roman"/>
          <w:sz w:val="22"/>
          <w:szCs w:val="22"/>
        </w:rPr>
        <w:t>A disadvantage of such an approach is that the UE may perform unnecessary inferences/predictions even when it is not needed (e.g., when the UE is near the serving cell cente</w:t>
      </w:r>
      <w:r w:rsidR="00257661">
        <w:rPr>
          <w:rFonts w:ascii="Times New Roman" w:eastAsia="DengXian" w:hAnsi="Times New Roman"/>
          <w:sz w:val="22"/>
          <w:szCs w:val="22"/>
        </w:rPr>
        <w:t>r</w:t>
      </w:r>
      <w:r w:rsidRPr="002D6AF6">
        <w:rPr>
          <w:rFonts w:ascii="Times New Roman" w:eastAsia="DengXian" w:hAnsi="Times New Roman"/>
          <w:sz w:val="22"/>
          <w:szCs w:val="22"/>
        </w:rPr>
        <w:t>). Even in legacy RRM framework, there are optional configurations such as s-measure that prevent the UE from performing unnecessary measurements</w:t>
      </w:r>
      <w:r w:rsidR="009079FA">
        <w:rPr>
          <w:rFonts w:ascii="Times New Roman" w:eastAsia="DengXian" w:hAnsi="Times New Roman"/>
          <w:sz w:val="22"/>
          <w:szCs w:val="22"/>
        </w:rPr>
        <w:t xml:space="preserve">, and UE will not evaluate events if it doesn’t </w:t>
      </w:r>
      <w:r w:rsidR="00281013">
        <w:rPr>
          <w:rFonts w:ascii="Times New Roman" w:eastAsia="DengXian" w:hAnsi="Times New Roman"/>
          <w:sz w:val="22"/>
          <w:szCs w:val="22"/>
        </w:rPr>
        <w:t xml:space="preserve">have the required measurements for </w:t>
      </w:r>
      <w:r w:rsidR="00E0753D">
        <w:rPr>
          <w:rFonts w:ascii="Times New Roman" w:eastAsia="DengXian" w:hAnsi="Times New Roman"/>
          <w:sz w:val="22"/>
          <w:szCs w:val="22"/>
        </w:rPr>
        <w:t xml:space="preserve">the event condition determination. </w:t>
      </w:r>
      <w:r w:rsidRPr="002D6AF6">
        <w:rPr>
          <w:rFonts w:ascii="Times New Roman" w:eastAsia="DengXian" w:hAnsi="Times New Roman"/>
          <w:sz w:val="22"/>
          <w:szCs w:val="22"/>
        </w:rPr>
        <w:t xml:space="preserve">Thus, it should be discussed whether such mechanisms are needed for controlling </w:t>
      </w:r>
      <w:r w:rsidR="00E0753D">
        <w:rPr>
          <w:rFonts w:ascii="Times New Roman" w:eastAsia="DengXian" w:hAnsi="Times New Roman"/>
          <w:sz w:val="22"/>
          <w:szCs w:val="22"/>
        </w:rPr>
        <w:t xml:space="preserve">event </w:t>
      </w:r>
      <w:r w:rsidRPr="002D6AF6">
        <w:rPr>
          <w:rFonts w:ascii="Times New Roman" w:eastAsia="DengXian" w:hAnsi="Times New Roman"/>
          <w:sz w:val="22"/>
          <w:szCs w:val="22"/>
        </w:rPr>
        <w:t xml:space="preserve">inferences as well. </w:t>
      </w:r>
    </w:p>
    <w:p w14:paraId="3A1E1835" w14:textId="0FF28161" w:rsidR="00654C72" w:rsidRPr="002D6AF6" w:rsidRDefault="00654C72" w:rsidP="0033231E">
      <w:pPr>
        <w:tabs>
          <w:tab w:val="left" w:pos="1377"/>
        </w:tabs>
        <w:ind w:left="1354" w:hanging="1354"/>
        <w:jc w:val="left"/>
        <w:rPr>
          <w:rFonts w:ascii="Times New Roman" w:eastAsia="DengXian" w:hAnsi="Times New Roman"/>
          <w:sz w:val="22"/>
          <w:szCs w:val="22"/>
        </w:rPr>
      </w:pPr>
      <w:r w:rsidRPr="00E0753D">
        <w:rPr>
          <w:rFonts w:ascii="Times New Roman" w:hAnsi="Times New Roman"/>
          <w:b/>
          <w:i/>
          <w:iCs/>
          <w:sz w:val="22"/>
          <w:szCs w:val="22"/>
        </w:rPr>
        <w:t xml:space="preserve">Observation </w:t>
      </w:r>
      <w:r w:rsidR="00FF10EB" w:rsidRPr="00E0753D">
        <w:rPr>
          <w:rFonts w:ascii="Times New Roman" w:hAnsi="Times New Roman"/>
          <w:b/>
          <w:i/>
          <w:iCs/>
          <w:sz w:val="22"/>
          <w:szCs w:val="22"/>
        </w:rPr>
        <w:t>7</w:t>
      </w:r>
      <w:r w:rsidRPr="00E0753D">
        <w:rPr>
          <w:rFonts w:ascii="Times New Roman" w:hAnsi="Times New Roman"/>
          <w:b/>
          <w:i/>
          <w:iCs/>
          <w:sz w:val="22"/>
          <w:szCs w:val="22"/>
        </w:rPr>
        <w:t>:</w:t>
      </w:r>
      <w:r w:rsidRPr="002D6AF6">
        <w:rPr>
          <w:rFonts w:ascii="Times New Roman" w:hAnsi="Times New Roman"/>
          <w:bCs/>
          <w:i/>
          <w:iCs/>
          <w:sz w:val="22"/>
          <w:szCs w:val="22"/>
        </w:rPr>
        <w:t xml:space="preserve"> Performing </w:t>
      </w:r>
      <w:r w:rsidR="00E0753D">
        <w:rPr>
          <w:rFonts w:ascii="Times New Roman" w:hAnsi="Times New Roman"/>
          <w:bCs/>
          <w:i/>
          <w:iCs/>
          <w:sz w:val="22"/>
          <w:szCs w:val="22"/>
        </w:rPr>
        <w:t xml:space="preserve">indirect </w:t>
      </w:r>
      <w:r w:rsidRPr="002D6AF6">
        <w:rPr>
          <w:rFonts w:ascii="Times New Roman" w:hAnsi="Times New Roman"/>
          <w:bCs/>
          <w:i/>
          <w:iCs/>
          <w:sz w:val="22"/>
          <w:szCs w:val="22"/>
        </w:rPr>
        <w:t>RRM measurement event predictions all the time is highly inefficient (e.g., when the UE is under excellent serving cell coverage).</w:t>
      </w:r>
    </w:p>
    <w:p w14:paraId="2F938A4A" w14:textId="77777777" w:rsidR="00654C72" w:rsidRPr="002D6AF6" w:rsidRDefault="00654C72" w:rsidP="0033231E">
      <w:pPr>
        <w:jc w:val="left"/>
        <w:rPr>
          <w:rFonts w:ascii="Times New Roman" w:eastAsia="DengXian" w:hAnsi="Times New Roman"/>
          <w:sz w:val="22"/>
          <w:szCs w:val="22"/>
        </w:rPr>
      </w:pPr>
      <w:r w:rsidRPr="002D6AF6">
        <w:rPr>
          <w:rFonts w:ascii="Times New Roman" w:eastAsia="DengXian" w:hAnsi="Times New Roman"/>
          <w:sz w:val="22"/>
          <w:szCs w:val="22"/>
        </w:rPr>
        <w:lastRenderedPageBreak/>
        <w:t>As such, we propose the following:</w:t>
      </w:r>
    </w:p>
    <w:p w14:paraId="4A2CF4FA" w14:textId="44DDC429" w:rsidR="00654C72" w:rsidRPr="0067278F" w:rsidRDefault="00654C72" w:rsidP="0033231E">
      <w:pPr>
        <w:tabs>
          <w:tab w:val="left" w:pos="1377"/>
        </w:tabs>
        <w:ind w:left="1170" w:hanging="1170"/>
        <w:jc w:val="left"/>
        <w:rPr>
          <w:rFonts w:ascii="Times New Roman" w:hAnsi="Times New Roman"/>
          <w:b/>
          <w:i/>
          <w:iCs/>
          <w:sz w:val="22"/>
          <w:szCs w:val="22"/>
        </w:rPr>
      </w:pPr>
      <w:r w:rsidRPr="00613748">
        <w:rPr>
          <w:rFonts w:ascii="Times New Roman" w:hAnsi="Times New Roman"/>
          <w:b/>
          <w:sz w:val="22"/>
          <w:szCs w:val="22"/>
          <w:u w:val="single"/>
        </w:rPr>
        <w:t>P</w:t>
      </w:r>
      <w:r w:rsidRPr="0067278F">
        <w:rPr>
          <w:rFonts w:ascii="Times New Roman" w:hAnsi="Times New Roman"/>
          <w:b/>
          <w:sz w:val="22"/>
          <w:szCs w:val="22"/>
          <w:u w:val="single"/>
        </w:rPr>
        <w:t xml:space="preserve">roposal </w:t>
      </w:r>
      <w:r w:rsidR="00C35975">
        <w:rPr>
          <w:rFonts w:ascii="Times New Roman" w:hAnsi="Times New Roman"/>
          <w:b/>
          <w:sz w:val="22"/>
          <w:szCs w:val="22"/>
          <w:u w:val="single"/>
        </w:rPr>
        <w:t>9</w:t>
      </w:r>
      <w:r w:rsidRPr="0067278F">
        <w:rPr>
          <w:rFonts w:ascii="Times New Roman" w:hAnsi="Times New Roman"/>
          <w:b/>
          <w:sz w:val="22"/>
          <w:szCs w:val="22"/>
          <w:u w:val="single"/>
        </w:rPr>
        <w:t xml:space="preserve">: </w:t>
      </w:r>
      <w:r w:rsidRPr="0067278F">
        <w:rPr>
          <w:rFonts w:ascii="Times New Roman" w:hAnsi="Times New Roman"/>
          <w:b/>
          <w:i/>
          <w:iCs/>
          <w:sz w:val="22"/>
          <w:szCs w:val="22"/>
        </w:rPr>
        <w:t>The UE can be configured to start performing RRM measurement event predictions in one of the following ways:</w:t>
      </w:r>
    </w:p>
    <w:p w14:paraId="443F073F" w14:textId="77777777" w:rsidR="001B01D9" w:rsidRPr="0067278F" w:rsidRDefault="00654C72" w:rsidP="0033231E">
      <w:pPr>
        <w:pStyle w:val="ListParagraph"/>
        <w:numPr>
          <w:ilvl w:val="0"/>
          <w:numId w:val="21"/>
        </w:numPr>
        <w:tabs>
          <w:tab w:val="left" w:pos="1377"/>
        </w:tabs>
        <w:jc w:val="left"/>
        <w:rPr>
          <w:rFonts w:ascii="Times New Roman" w:hAnsi="Times New Roman"/>
          <w:b/>
          <w:i/>
          <w:iCs/>
          <w:sz w:val="22"/>
          <w:szCs w:val="22"/>
        </w:rPr>
      </w:pPr>
      <w:r w:rsidRPr="0067278F">
        <w:rPr>
          <w:rFonts w:ascii="Times New Roman" w:hAnsi="Times New Roman"/>
          <w:b/>
          <w:i/>
          <w:iCs/>
          <w:sz w:val="22"/>
          <w:szCs w:val="22"/>
        </w:rPr>
        <w:t>Automatically, upon the reception of the inference configuration and after determining that it has an applicable model.</w:t>
      </w:r>
    </w:p>
    <w:p w14:paraId="1A8C4C20" w14:textId="685540E0" w:rsidR="00895509" w:rsidRPr="002D6AF6" w:rsidRDefault="00654C72" w:rsidP="0033231E">
      <w:pPr>
        <w:pStyle w:val="ListParagraph"/>
        <w:numPr>
          <w:ilvl w:val="0"/>
          <w:numId w:val="21"/>
        </w:numPr>
        <w:tabs>
          <w:tab w:val="left" w:pos="1377"/>
        </w:tabs>
        <w:jc w:val="left"/>
        <w:rPr>
          <w:rFonts w:ascii="Times New Roman" w:hAnsi="Times New Roman"/>
          <w:b/>
          <w:sz w:val="22"/>
          <w:szCs w:val="22"/>
        </w:rPr>
      </w:pPr>
      <w:r w:rsidRPr="0067278F">
        <w:rPr>
          <w:rFonts w:ascii="Times New Roman" w:hAnsi="Times New Roman"/>
          <w:b/>
          <w:i/>
          <w:iCs/>
          <w:sz w:val="22"/>
          <w:szCs w:val="22"/>
        </w:rPr>
        <w:t xml:space="preserve">Upon the </w:t>
      </w:r>
      <w:r w:rsidR="0067278F" w:rsidRPr="0067278F">
        <w:rPr>
          <w:rFonts w:ascii="Times New Roman" w:hAnsi="Times New Roman"/>
          <w:b/>
          <w:i/>
          <w:iCs/>
          <w:sz w:val="22"/>
          <w:szCs w:val="22"/>
        </w:rPr>
        <w:t>fulfilment</w:t>
      </w:r>
      <w:r w:rsidRPr="0067278F">
        <w:rPr>
          <w:rFonts w:ascii="Times New Roman" w:hAnsi="Times New Roman"/>
          <w:b/>
          <w:i/>
          <w:iCs/>
          <w:sz w:val="22"/>
          <w:szCs w:val="22"/>
        </w:rPr>
        <w:t xml:space="preserve"> of further conditions. The details of the conditions are FFS (e.g., configuration like the s-measure for starting inference).</w:t>
      </w:r>
    </w:p>
    <w:p w14:paraId="1649B40F" w14:textId="77777777" w:rsidR="001931CF" w:rsidRPr="00881FE5" w:rsidRDefault="001931CF" w:rsidP="0033231E">
      <w:pPr>
        <w:pStyle w:val="Heading1"/>
        <w:rPr>
          <w:sz w:val="32"/>
          <w:szCs w:val="32"/>
        </w:rPr>
      </w:pPr>
      <w:r w:rsidRPr="00881FE5">
        <w:rPr>
          <w:sz w:val="32"/>
          <w:szCs w:val="32"/>
        </w:rPr>
        <w:t>3. Conclusion</w:t>
      </w:r>
    </w:p>
    <w:p w14:paraId="248D7174" w14:textId="44D5997C" w:rsidR="001931CF" w:rsidRDefault="001931CF" w:rsidP="0033231E">
      <w:pPr>
        <w:tabs>
          <w:tab w:val="left" w:pos="0"/>
        </w:tabs>
        <w:jc w:val="left"/>
        <w:rPr>
          <w:rFonts w:ascii="Times New Roman" w:hAnsi="Times New Roman"/>
          <w:sz w:val="22"/>
          <w:szCs w:val="22"/>
        </w:rPr>
      </w:pPr>
      <w:r w:rsidRPr="00E95C30">
        <w:rPr>
          <w:rFonts w:ascii="Times New Roman" w:hAnsi="Times New Roman"/>
          <w:sz w:val="22"/>
          <w:szCs w:val="22"/>
        </w:rPr>
        <w:t xml:space="preserve">In this contribution, we discussed various LCM and functionality management aspects for </w:t>
      </w:r>
      <w:r w:rsidR="00E95C30" w:rsidRPr="00E95C30">
        <w:rPr>
          <w:rFonts w:ascii="Times New Roman" w:hAnsi="Times New Roman"/>
          <w:sz w:val="22"/>
          <w:szCs w:val="22"/>
        </w:rPr>
        <w:t xml:space="preserve">indirect </w:t>
      </w:r>
      <w:r w:rsidRPr="00E95C30">
        <w:rPr>
          <w:rFonts w:ascii="Times New Roman" w:hAnsi="Times New Roman"/>
          <w:sz w:val="22"/>
          <w:szCs w:val="22"/>
        </w:rPr>
        <w:t>RRM measurement event prediction. The following observations and proposals were made:</w:t>
      </w:r>
    </w:p>
    <w:p w14:paraId="6A61C37D" w14:textId="77777777" w:rsidR="00E95C30" w:rsidRDefault="00E95C30" w:rsidP="0033231E">
      <w:pPr>
        <w:tabs>
          <w:tab w:val="left" w:pos="0"/>
        </w:tabs>
        <w:jc w:val="left"/>
        <w:rPr>
          <w:rFonts w:ascii="Times New Roman" w:hAnsi="Times New Roman"/>
          <w:sz w:val="22"/>
          <w:szCs w:val="22"/>
        </w:rPr>
      </w:pPr>
    </w:p>
    <w:p w14:paraId="6166B47A" w14:textId="77777777" w:rsidR="00BE0060" w:rsidRPr="00F50E1F" w:rsidRDefault="00BE0060" w:rsidP="00BE0060">
      <w:pPr>
        <w:rPr>
          <w:highlight w:val="lightGray"/>
        </w:rPr>
      </w:pPr>
      <w:r w:rsidRPr="00F50E1F">
        <w:rPr>
          <w:highlight w:val="lightGray"/>
        </w:rPr>
        <w:t>[Adopting rel-19 agreements in AIML PHY]</w:t>
      </w:r>
    </w:p>
    <w:p w14:paraId="1F128883" w14:textId="77777777" w:rsidR="001D740F" w:rsidRPr="002E4FA2" w:rsidRDefault="001D740F" w:rsidP="001D740F">
      <w:pPr>
        <w:tabs>
          <w:tab w:val="left" w:pos="1377"/>
        </w:tabs>
        <w:ind w:left="1354" w:hanging="1354"/>
        <w:jc w:val="left"/>
        <w:rPr>
          <w:rFonts w:ascii="Times New Roman" w:hAnsi="Times New Roman"/>
          <w:bCs/>
          <w:i/>
          <w:iCs/>
          <w:sz w:val="22"/>
          <w:szCs w:val="22"/>
        </w:rPr>
      </w:pPr>
      <w:r w:rsidRPr="008D1891">
        <w:rPr>
          <w:rFonts w:ascii="Times New Roman" w:hAnsi="Times New Roman"/>
          <w:b/>
          <w:i/>
          <w:iCs/>
          <w:sz w:val="22"/>
          <w:szCs w:val="22"/>
        </w:rPr>
        <w:t>Observation 1:</w:t>
      </w:r>
      <w:r w:rsidRPr="002E4FA2">
        <w:rPr>
          <w:rFonts w:ascii="Times New Roman" w:hAnsi="Times New Roman"/>
          <w:bCs/>
          <w:i/>
          <w:iCs/>
          <w:sz w:val="22"/>
          <w:szCs w:val="22"/>
        </w:rPr>
        <w:t xml:space="preserve"> The LCM and related signalling discussions and agreements for the AIML mobility study in rel-19 study were based on the AIML BM use case.</w:t>
      </w:r>
    </w:p>
    <w:p w14:paraId="250BB93F" w14:textId="77777777" w:rsidR="001D740F" w:rsidRPr="002E4FA2" w:rsidRDefault="001D740F" w:rsidP="001D740F">
      <w:pPr>
        <w:tabs>
          <w:tab w:val="left" w:pos="1377"/>
        </w:tabs>
        <w:ind w:left="1354" w:hanging="1354"/>
        <w:jc w:val="left"/>
        <w:rPr>
          <w:rFonts w:ascii="Times New Roman" w:hAnsi="Times New Roman"/>
          <w:bCs/>
          <w:i/>
          <w:iCs/>
          <w:sz w:val="22"/>
          <w:szCs w:val="22"/>
        </w:rPr>
      </w:pPr>
      <w:r w:rsidRPr="008D1891">
        <w:rPr>
          <w:rFonts w:ascii="Times New Roman" w:hAnsi="Times New Roman"/>
          <w:b/>
          <w:i/>
          <w:iCs/>
          <w:sz w:val="22"/>
          <w:szCs w:val="22"/>
        </w:rPr>
        <w:t>Observation 2:</w:t>
      </w:r>
      <w:r w:rsidRPr="002E4FA2">
        <w:rPr>
          <w:rFonts w:ascii="Times New Roman" w:hAnsi="Times New Roman"/>
          <w:bCs/>
          <w:i/>
          <w:iCs/>
          <w:sz w:val="22"/>
          <w:szCs w:val="22"/>
        </w:rPr>
        <w:t xml:space="preserve"> The rel-19 specification work on AIML BM use case has been finalized (with few ASN.1 corrections pending).</w:t>
      </w:r>
    </w:p>
    <w:p w14:paraId="4DCE6D71" w14:textId="77777777" w:rsidR="001D740F" w:rsidRPr="002E4FA2" w:rsidRDefault="001D740F" w:rsidP="001D740F">
      <w:pPr>
        <w:tabs>
          <w:tab w:val="left" w:pos="1377"/>
        </w:tabs>
        <w:ind w:left="1354" w:hanging="1354"/>
        <w:jc w:val="left"/>
        <w:rPr>
          <w:rFonts w:ascii="Times New Roman" w:hAnsi="Times New Roman"/>
          <w:bCs/>
          <w:i/>
          <w:iCs/>
          <w:sz w:val="22"/>
          <w:szCs w:val="22"/>
        </w:rPr>
      </w:pPr>
      <w:r w:rsidRPr="008D1891">
        <w:rPr>
          <w:rFonts w:ascii="Times New Roman" w:hAnsi="Times New Roman"/>
          <w:b/>
          <w:i/>
          <w:iCs/>
          <w:sz w:val="22"/>
          <w:szCs w:val="22"/>
        </w:rPr>
        <w:t>Observation 3:</w:t>
      </w:r>
      <w:r w:rsidRPr="002E4FA2">
        <w:rPr>
          <w:rFonts w:ascii="Times New Roman" w:hAnsi="Times New Roman"/>
          <w:bCs/>
          <w:i/>
          <w:iCs/>
          <w:sz w:val="22"/>
          <w:szCs w:val="22"/>
        </w:rPr>
        <w:t xml:space="preserve"> RAN2 should not discuss and re-confirm each agreement that was made during the AIML mobility study during rel-19.</w:t>
      </w:r>
    </w:p>
    <w:p w14:paraId="17ADCC93" w14:textId="77777777" w:rsidR="001D740F" w:rsidRDefault="001D740F" w:rsidP="001D740F">
      <w:pPr>
        <w:tabs>
          <w:tab w:val="left" w:pos="1377"/>
        </w:tabs>
        <w:ind w:left="1170" w:hanging="1170"/>
        <w:jc w:val="left"/>
        <w:rPr>
          <w:rFonts w:ascii="Times New Roman" w:hAnsi="Times New Roman"/>
          <w:sz w:val="22"/>
          <w:szCs w:val="22"/>
        </w:rPr>
      </w:pPr>
    </w:p>
    <w:p w14:paraId="089098C4" w14:textId="1F04D6B6" w:rsidR="001D740F" w:rsidRPr="002E4FA2" w:rsidRDefault="001D740F" w:rsidP="001D740F">
      <w:pPr>
        <w:tabs>
          <w:tab w:val="left" w:pos="1377"/>
        </w:tabs>
        <w:ind w:left="1170" w:hanging="1170"/>
        <w:jc w:val="left"/>
        <w:rPr>
          <w:rFonts w:ascii="Times New Roman" w:hAnsi="Times New Roman"/>
          <w:b/>
          <w:i/>
          <w:iCs/>
          <w:sz w:val="22"/>
          <w:szCs w:val="22"/>
        </w:rPr>
      </w:pPr>
      <w:r w:rsidRPr="002E4FA2">
        <w:rPr>
          <w:rFonts w:ascii="Times New Roman" w:hAnsi="Times New Roman"/>
          <w:b/>
          <w:sz w:val="22"/>
          <w:szCs w:val="22"/>
          <w:u w:val="single"/>
        </w:rPr>
        <w:t>Proposal 1:</w:t>
      </w:r>
      <w:r w:rsidRPr="002E4FA2">
        <w:rPr>
          <w:rFonts w:ascii="Times New Roman" w:hAnsi="Times New Roman"/>
          <w:b/>
          <w:sz w:val="22"/>
          <w:szCs w:val="22"/>
        </w:rPr>
        <w:t xml:space="preserve"> </w:t>
      </w:r>
      <w:r w:rsidRPr="002E4FA2">
        <w:rPr>
          <w:rFonts w:ascii="Times New Roman" w:hAnsi="Times New Roman"/>
          <w:b/>
          <w:i/>
          <w:iCs/>
          <w:sz w:val="22"/>
          <w:szCs w:val="22"/>
        </w:rPr>
        <w:t>Rel-20 discussion on LCM and signalling for AIML mobility should start by identifying the aspects of rel-19 AIML BM use case that can be adopted as is and those that require further discussion.</w:t>
      </w:r>
    </w:p>
    <w:p w14:paraId="62666044" w14:textId="77777777" w:rsidR="001D740F" w:rsidRPr="002E4FA2" w:rsidRDefault="001D740F" w:rsidP="001D740F">
      <w:pPr>
        <w:tabs>
          <w:tab w:val="left" w:pos="1377"/>
        </w:tabs>
        <w:ind w:left="1170" w:hanging="1170"/>
        <w:jc w:val="left"/>
        <w:rPr>
          <w:rFonts w:ascii="Times New Roman" w:hAnsi="Times New Roman"/>
          <w:b/>
          <w:i/>
          <w:iCs/>
          <w:sz w:val="22"/>
          <w:szCs w:val="22"/>
        </w:rPr>
      </w:pPr>
      <w:r w:rsidRPr="002E4FA2">
        <w:rPr>
          <w:rFonts w:ascii="Times New Roman" w:hAnsi="Times New Roman"/>
          <w:b/>
          <w:sz w:val="22"/>
          <w:szCs w:val="22"/>
          <w:u w:val="single"/>
        </w:rPr>
        <w:t>Proposal 2:</w:t>
      </w:r>
      <w:r w:rsidRPr="002E4FA2">
        <w:rPr>
          <w:rFonts w:ascii="Times New Roman" w:hAnsi="Times New Roman"/>
          <w:b/>
          <w:sz w:val="22"/>
          <w:szCs w:val="22"/>
        </w:rPr>
        <w:t xml:space="preserve"> </w:t>
      </w:r>
      <w:r w:rsidRPr="002E4FA2">
        <w:rPr>
          <w:rFonts w:ascii="Times New Roman" w:hAnsi="Times New Roman"/>
          <w:b/>
          <w:i/>
          <w:iCs/>
          <w:sz w:val="22"/>
          <w:szCs w:val="22"/>
        </w:rPr>
        <w:t xml:space="preserve">For indirect RRM measurement event prediction, RAN2 to adopt the applicability determination and reporting framework for AIML BM that is captured in 38.300 (section 22.2.3), except for the aspects related to CSI configuration/reporting. </w:t>
      </w:r>
    </w:p>
    <w:p w14:paraId="272ABF9B" w14:textId="77777777" w:rsidR="001D740F" w:rsidRPr="00F50E1F" w:rsidRDefault="001D740F" w:rsidP="00BE0060">
      <w:pPr>
        <w:tabs>
          <w:tab w:val="left" w:pos="1377"/>
        </w:tabs>
        <w:ind w:left="1170" w:hanging="1170"/>
        <w:jc w:val="left"/>
        <w:rPr>
          <w:rFonts w:cs="Arial"/>
          <w:b/>
          <w:i/>
          <w:iCs/>
        </w:rPr>
      </w:pPr>
    </w:p>
    <w:p w14:paraId="7D4B8450" w14:textId="77777777" w:rsidR="00BE0060" w:rsidRPr="00F50E1F" w:rsidRDefault="00BE0060" w:rsidP="00BE0060">
      <w:pPr>
        <w:rPr>
          <w:highlight w:val="lightGray"/>
        </w:rPr>
      </w:pPr>
      <w:r w:rsidRPr="00F50E1F">
        <w:rPr>
          <w:highlight w:val="lightGray"/>
        </w:rPr>
        <w:t>[UE Capability]</w:t>
      </w:r>
    </w:p>
    <w:p w14:paraId="4D646AA3" w14:textId="77777777" w:rsidR="00CD5746" w:rsidRPr="002E4FA2" w:rsidRDefault="00CD5746" w:rsidP="00CD5746">
      <w:pPr>
        <w:tabs>
          <w:tab w:val="left" w:pos="1377"/>
        </w:tabs>
        <w:ind w:left="1170" w:hanging="1170"/>
        <w:jc w:val="left"/>
        <w:rPr>
          <w:rFonts w:ascii="Times New Roman" w:hAnsi="Times New Roman"/>
          <w:b/>
          <w:i/>
          <w:iCs/>
          <w:sz w:val="22"/>
          <w:szCs w:val="22"/>
        </w:rPr>
      </w:pPr>
      <w:r w:rsidRPr="002E4FA2">
        <w:rPr>
          <w:rFonts w:ascii="Times New Roman" w:hAnsi="Times New Roman"/>
          <w:b/>
          <w:sz w:val="22"/>
          <w:szCs w:val="22"/>
          <w:u w:val="single"/>
        </w:rPr>
        <w:t>Proposal 3:</w:t>
      </w:r>
      <w:r w:rsidRPr="002E4FA2">
        <w:rPr>
          <w:rFonts w:ascii="Times New Roman" w:hAnsi="Times New Roman"/>
          <w:b/>
          <w:sz w:val="22"/>
          <w:szCs w:val="22"/>
        </w:rPr>
        <w:t xml:space="preserve"> </w:t>
      </w:r>
      <w:r w:rsidRPr="002E4FA2">
        <w:rPr>
          <w:rFonts w:ascii="Times New Roman" w:hAnsi="Times New Roman"/>
          <w:b/>
          <w:i/>
          <w:iCs/>
          <w:sz w:val="22"/>
          <w:szCs w:val="22"/>
        </w:rPr>
        <w:t>A UE that is capable of RRM measurement prediction is also capable of indirect RRM measurement event prediction.</w:t>
      </w:r>
    </w:p>
    <w:p w14:paraId="329D08B9" w14:textId="77777777" w:rsidR="00CD5746" w:rsidRPr="00F50E1F" w:rsidRDefault="00CD5746" w:rsidP="00BE0060">
      <w:pPr>
        <w:rPr>
          <w:highlight w:val="lightGray"/>
        </w:rPr>
      </w:pPr>
    </w:p>
    <w:p w14:paraId="34008AEF" w14:textId="1F8419AC" w:rsidR="00BE0060" w:rsidRDefault="00BE0060" w:rsidP="00CD5746">
      <w:pPr>
        <w:rPr>
          <w:rFonts w:cs="Arial"/>
          <w:b/>
        </w:rPr>
      </w:pPr>
      <w:r w:rsidRPr="00F50E1F">
        <w:rPr>
          <w:highlight w:val="lightGray"/>
        </w:rPr>
        <w:t>[Inference configuration/reporting]</w:t>
      </w:r>
    </w:p>
    <w:p w14:paraId="77440A0E" w14:textId="77777777" w:rsidR="00CD5746" w:rsidRPr="002E4FA2" w:rsidRDefault="00CD5746" w:rsidP="00CD5746">
      <w:pPr>
        <w:tabs>
          <w:tab w:val="left" w:pos="1377"/>
        </w:tabs>
        <w:ind w:left="1354" w:hanging="1354"/>
        <w:jc w:val="left"/>
        <w:rPr>
          <w:rFonts w:ascii="Times New Roman" w:hAnsi="Times New Roman"/>
          <w:bCs/>
          <w:i/>
          <w:iCs/>
          <w:sz w:val="22"/>
          <w:szCs w:val="22"/>
        </w:rPr>
      </w:pPr>
      <w:r w:rsidRPr="002E4FA2">
        <w:rPr>
          <w:rFonts w:ascii="Times New Roman" w:hAnsi="Times New Roman"/>
          <w:b/>
          <w:i/>
          <w:iCs/>
          <w:sz w:val="22"/>
          <w:szCs w:val="22"/>
        </w:rPr>
        <w:t>Observation 4:</w:t>
      </w:r>
      <w:r w:rsidRPr="002E4FA2">
        <w:rPr>
          <w:rFonts w:ascii="Times New Roman" w:hAnsi="Times New Roman"/>
          <w:bCs/>
          <w:i/>
          <w:iCs/>
          <w:sz w:val="22"/>
          <w:szCs w:val="22"/>
        </w:rPr>
        <w:t xml:space="preserve"> Except for aspects like spatial prediction that are not within the scope of the Rel-20 WI, most of the agreements that are captured in </w:t>
      </w:r>
      <w:r w:rsidRPr="002E4FA2">
        <w:rPr>
          <w:rFonts w:ascii="Times New Roman" w:hAnsi="Times New Roman"/>
          <w:sz w:val="22"/>
          <w:szCs w:val="22"/>
        </w:rPr>
        <w:t xml:space="preserve">TR 38.744 </w:t>
      </w:r>
      <w:r w:rsidRPr="002E4FA2">
        <w:rPr>
          <w:rFonts w:ascii="Times New Roman" w:hAnsi="Times New Roman"/>
          <w:bCs/>
          <w:i/>
          <w:iCs/>
          <w:sz w:val="22"/>
          <w:szCs w:val="22"/>
        </w:rPr>
        <w:t xml:space="preserve">for inference configuration/reporting of RRM measurement prediction can be already confirmed in RAN2. </w:t>
      </w:r>
    </w:p>
    <w:p w14:paraId="0842A291" w14:textId="6FE339FD" w:rsidR="00CD5746" w:rsidRPr="002E4FA2" w:rsidRDefault="00CD5746" w:rsidP="00CD5746">
      <w:pPr>
        <w:tabs>
          <w:tab w:val="left" w:pos="1377"/>
        </w:tabs>
        <w:ind w:left="1354" w:hanging="1354"/>
        <w:jc w:val="left"/>
        <w:rPr>
          <w:rFonts w:ascii="Times New Roman" w:hAnsi="Times New Roman"/>
          <w:bCs/>
          <w:i/>
          <w:iCs/>
          <w:sz w:val="22"/>
          <w:szCs w:val="22"/>
        </w:rPr>
      </w:pPr>
      <w:r w:rsidRPr="002E4FA2">
        <w:rPr>
          <w:rFonts w:ascii="Times New Roman" w:hAnsi="Times New Roman"/>
          <w:b/>
          <w:i/>
          <w:iCs/>
          <w:sz w:val="22"/>
          <w:szCs w:val="22"/>
        </w:rPr>
        <w:t>Observation 5:</w:t>
      </w:r>
      <w:r w:rsidRPr="002E4FA2">
        <w:rPr>
          <w:rFonts w:ascii="Times New Roman" w:hAnsi="Times New Roman"/>
          <w:bCs/>
          <w:i/>
          <w:iCs/>
          <w:sz w:val="22"/>
          <w:szCs w:val="22"/>
        </w:rPr>
        <w:t xml:space="preserve"> By extension, any such agreements are </w:t>
      </w:r>
      <w:r w:rsidR="00DA3BBD">
        <w:rPr>
          <w:rFonts w:ascii="Times New Roman" w:hAnsi="Times New Roman"/>
          <w:bCs/>
          <w:i/>
          <w:iCs/>
          <w:sz w:val="22"/>
          <w:szCs w:val="22"/>
        </w:rPr>
        <w:t xml:space="preserve">also </w:t>
      </w:r>
      <w:r w:rsidRPr="002E4FA2">
        <w:rPr>
          <w:rFonts w:ascii="Times New Roman" w:hAnsi="Times New Roman"/>
          <w:bCs/>
          <w:i/>
          <w:iCs/>
          <w:sz w:val="22"/>
          <w:szCs w:val="22"/>
        </w:rPr>
        <w:t>applicable to the case of indirect RRM measurement event</w:t>
      </w:r>
      <w:r w:rsidR="009F2631">
        <w:rPr>
          <w:rFonts w:ascii="Times New Roman" w:hAnsi="Times New Roman"/>
          <w:bCs/>
          <w:i/>
          <w:iCs/>
          <w:sz w:val="22"/>
          <w:szCs w:val="22"/>
        </w:rPr>
        <w:t xml:space="preserve"> prediction.</w:t>
      </w:r>
    </w:p>
    <w:p w14:paraId="13747F4B" w14:textId="77777777" w:rsidR="00CD5746" w:rsidRDefault="00CD5746" w:rsidP="00CD5746">
      <w:pPr>
        <w:rPr>
          <w:rFonts w:cs="Arial"/>
          <w:b/>
        </w:rPr>
      </w:pPr>
    </w:p>
    <w:p w14:paraId="0DE1398E" w14:textId="77777777" w:rsidR="00CD5746" w:rsidRPr="002E4FA2" w:rsidRDefault="00CD5746" w:rsidP="00CD5746">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t xml:space="preserve">Proposal </w:t>
      </w:r>
      <w:r w:rsidRPr="00301506">
        <w:rPr>
          <w:rFonts w:ascii="Times New Roman" w:hAnsi="Times New Roman"/>
          <w:b/>
          <w:sz w:val="22"/>
          <w:szCs w:val="22"/>
          <w:u w:val="single"/>
        </w:rPr>
        <w:t>4</w:t>
      </w:r>
      <w:r w:rsidRPr="00301506">
        <w:rPr>
          <w:rFonts w:ascii="Times New Roman" w:hAnsi="Times New Roman"/>
          <w:b/>
          <w:i/>
          <w:iCs/>
          <w:sz w:val="22"/>
          <w:szCs w:val="22"/>
          <w:u w:val="single"/>
        </w:rPr>
        <w:t>:</w:t>
      </w:r>
      <w:r w:rsidRPr="002E4FA2">
        <w:rPr>
          <w:rFonts w:ascii="Times New Roman" w:hAnsi="Times New Roman"/>
          <w:b/>
          <w:i/>
          <w:iCs/>
          <w:sz w:val="22"/>
          <w:szCs w:val="22"/>
        </w:rPr>
        <w:t xml:space="preserve"> RAN2 to confirm that the RRM measurement configuration and reporting framework based on the RRC layer is the baseline for inference configuration and reporting for indirect RRM measurement event prediction.</w:t>
      </w:r>
    </w:p>
    <w:p w14:paraId="1469C678" w14:textId="77777777" w:rsidR="00CD5746" w:rsidRPr="00786702" w:rsidRDefault="00CD5746" w:rsidP="00CD5746">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t xml:space="preserve">Proposal </w:t>
      </w:r>
      <w:r w:rsidRPr="00301506">
        <w:rPr>
          <w:rFonts w:ascii="Times New Roman" w:hAnsi="Times New Roman"/>
          <w:b/>
          <w:sz w:val="22"/>
          <w:szCs w:val="22"/>
          <w:u w:val="single"/>
        </w:rPr>
        <w:t>5</w:t>
      </w:r>
      <w:r w:rsidRPr="00301506">
        <w:rPr>
          <w:rFonts w:ascii="Times New Roman" w:hAnsi="Times New Roman"/>
          <w:b/>
          <w:i/>
          <w:iCs/>
          <w:sz w:val="22"/>
          <w:szCs w:val="22"/>
          <w:u w:val="single"/>
        </w:rPr>
        <w:t>:</w:t>
      </w:r>
      <w:r w:rsidRPr="00786702">
        <w:rPr>
          <w:rFonts w:ascii="Times New Roman" w:hAnsi="Times New Roman"/>
          <w:b/>
          <w:i/>
          <w:iCs/>
          <w:sz w:val="22"/>
          <w:szCs w:val="22"/>
        </w:rPr>
        <w:t xml:space="preserve"> RAN2 to confirm that the UE can be configured with the following parameters for the case of </w:t>
      </w:r>
      <w:r>
        <w:rPr>
          <w:rFonts w:ascii="Times New Roman" w:hAnsi="Times New Roman"/>
          <w:b/>
          <w:i/>
          <w:iCs/>
          <w:sz w:val="22"/>
          <w:szCs w:val="22"/>
        </w:rPr>
        <w:t xml:space="preserve">indirect </w:t>
      </w:r>
      <w:r w:rsidRPr="00786702">
        <w:rPr>
          <w:rFonts w:ascii="Times New Roman" w:hAnsi="Times New Roman"/>
          <w:b/>
          <w:i/>
          <w:iCs/>
          <w:sz w:val="22"/>
          <w:szCs w:val="22"/>
        </w:rPr>
        <w:t>RRM measurement event prediction:</w:t>
      </w:r>
    </w:p>
    <w:p w14:paraId="38EFA0D1" w14:textId="77777777" w:rsidR="00CD5746" w:rsidRPr="00786702" w:rsidRDefault="00CD5746" w:rsidP="00CD5746">
      <w:pPr>
        <w:pStyle w:val="ListParagraph"/>
        <w:numPr>
          <w:ilvl w:val="0"/>
          <w:numId w:val="24"/>
        </w:numPr>
        <w:tabs>
          <w:tab w:val="left" w:pos="1377"/>
        </w:tabs>
        <w:jc w:val="left"/>
        <w:rPr>
          <w:rFonts w:ascii="Times New Roman" w:hAnsi="Times New Roman"/>
          <w:b/>
          <w:i/>
          <w:iCs/>
          <w:sz w:val="22"/>
          <w:szCs w:val="22"/>
        </w:rPr>
      </w:pPr>
      <w:r w:rsidRPr="00786702">
        <w:rPr>
          <w:rFonts w:ascii="Times New Roman" w:hAnsi="Times New Roman"/>
          <w:b/>
          <w:i/>
          <w:iCs/>
          <w:sz w:val="22"/>
          <w:szCs w:val="22"/>
        </w:rPr>
        <w:t>Prediction window length</w:t>
      </w:r>
    </w:p>
    <w:p w14:paraId="5BF946BE" w14:textId="77777777" w:rsidR="00CD5746" w:rsidRPr="00786702" w:rsidRDefault="00CD5746" w:rsidP="00CD5746">
      <w:pPr>
        <w:pStyle w:val="ListParagraph"/>
        <w:numPr>
          <w:ilvl w:val="0"/>
          <w:numId w:val="24"/>
        </w:numPr>
        <w:tabs>
          <w:tab w:val="left" w:pos="1377"/>
        </w:tabs>
        <w:jc w:val="left"/>
        <w:rPr>
          <w:rFonts w:ascii="Times New Roman" w:hAnsi="Times New Roman"/>
          <w:b/>
          <w:i/>
          <w:iCs/>
          <w:sz w:val="22"/>
          <w:szCs w:val="22"/>
        </w:rPr>
      </w:pPr>
      <w:r w:rsidRPr="00786702">
        <w:rPr>
          <w:rFonts w:ascii="Times New Roman" w:hAnsi="Times New Roman"/>
          <w:b/>
          <w:i/>
          <w:iCs/>
          <w:sz w:val="22"/>
          <w:szCs w:val="22"/>
        </w:rPr>
        <w:lastRenderedPageBreak/>
        <w:t>Event-related parameters (e.g., event type and other event-related parameters such as TTT, etc.)</w:t>
      </w:r>
    </w:p>
    <w:p w14:paraId="051BD88B" w14:textId="77777777" w:rsidR="00CD5746" w:rsidRPr="00F27ABF" w:rsidRDefault="00CD5746" w:rsidP="00CD5746">
      <w:pPr>
        <w:pStyle w:val="ListParagraph"/>
        <w:numPr>
          <w:ilvl w:val="0"/>
          <w:numId w:val="24"/>
        </w:numPr>
        <w:tabs>
          <w:tab w:val="left" w:pos="1377"/>
        </w:tabs>
        <w:jc w:val="left"/>
        <w:rPr>
          <w:rFonts w:ascii="Times New Roman" w:hAnsi="Times New Roman"/>
          <w:b/>
          <w:i/>
          <w:iCs/>
          <w:sz w:val="22"/>
          <w:szCs w:val="22"/>
        </w:rPr>
      </w:pPr>
      <w:r w:rsidRPr="00F27ABF">
        <w:rPr>
          <w:rFonts w:ascii="Times New Roman" w:hAnsi="Times New Roman"/>
          <w:b/>
          <w:i/>
          <w:iCs/>
          <w:sz w:val="22"/>
          <w:szCs w:val="22"/>
        </w:rPr>
        <w:t>(optional) list of cells for which network expects inference report and their corresponding associated ID</w:t>
      </w:r>
    </w:p>
    <w:p w14:paraId="184F0718" w14:textId="77777777" w:rsidR="00CD5746" w:rsidRPr="00786702" w:rsidRDefault="00CD5746" w:rsidP="00CD5746">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t xml:space="preserve">Proposal </w:t>
      </w:r>
      <w:r w:rsidRPr="00301506">
        <w:rPr>
          <w:rFonts w:ascii="Times New Roman" w:hAnsi="Times New Roman"/>
          <w:b/>
          <w:sz w:val="22"/>
          <w:szCs w:val="22"/>
          <w:u w:val="single"/>
        </w:rPr>
        <w:t>6</w:t>
      </w:r>
      <w:r w:rsidRPr="00301506">
        <w:rPr>
          <w:rFonts w:ascii="Times New Roman" w:hAnsi="Times New Roman"/>
          <w:b/>
          <w:i/>
          <w:iCs/>
          <w:sz w:val="22"/>
          <w:szCs w:val="22"/>
          <w:u w:val="single"/>
        </w:rPr>
        <w:t>:</w:t>
      </w:r>
      <w:r w:rsidRPr="005F1FF6">
        <w:rPr>
          <w:rFonts w:ascii="Times New Roman" w:hAnsi="Times New Roman"/>
          <w:b/>
          <w:i/>
          <w:iCs/>
          <w:sz w:val="22"/>
          <w:szCs w:val="22"/>
        </w:rPr>
        <w:t xml:space="preserve"> RAN2 to confirm that for indirect measurement event predictions, the UE can be configured with event triggered conditions and measurement reporting upon event prediction based on predicted measurements or a combination of actual and predicted measurements.</w:t>
      </w:r>
    </w:p>
    <w:p w14:paraId="2ACFD8D8" w14:textId="635A8FE6" w:rsidR="00CD5746" w:rsidRPr="00786702" w:rsidRDefault="00CD5746" w:rsidP="00CD5746">
      <w:pPr>
        <w:tabs>
          <w:tab w:val="left" w:pos="1377"/>
        </w:tabs>
        <w:ind w:left="1170" w:hanging="1170"/>
        <w:jc w:val="left"/>
        <w:rPr>
          <w:rFonts w:ascii="Times New Roman" w:hAnsi="Times New Roman"/>
          <w:b/>
          <w:i/>
          <w:iCs/>
          <w:sz w:val="22"/>
          <w:szCs w:val="22"/>
        </w:rPr>
      </w:pPr>
      <w:r w:rsidRPr="005F1FF6">
        <w:rPr>
          <w:rFonts w:ascii="Times New Roman" w:hAnsi="Times New Roman"/>
          <w:b/>
          <w:sz w:val="22"/>
          <w:szCs w:val="22"/>
          <w:u w:val="single"/>
        </w:rPr>
        <w:t>Proposal 7:</w:t>
      </w:r>
      <w:r w:rsidRPr="00786702">
        <w:rPr>
          <w:rFonts w:ascii="Times New Roman" w:hAnsi="Times New Roman"/>
          <w:b/>
          <w:i/>
          <w:iCs/>
          <w:sz w:val="22"/>
          <w:szCs w:val="22"/>
        </w:rPr>
        <w:t xml:space="preserve"> RAN2 to confirm </w:t>
      </w:r>
      <w:r>
        <w:rPr>
          <w:rFonts w:ascii="Times New Roman" w:hAnsi="Times New Roman"/>
          <w:b/>
          <w:i/>
          <w:iCs/>
          <w:sz w:val="22"/>
          <w:szCs w:val="22"/>
        </w:rPr>
        <w:t xml:space="preserve">that </w:t>
      </w:r>
      <w:r w:rsidRPr="00786702">
        <w:rPr>
          <w:rFonts w:ascii="Times New Roman" w:hAnsi="Times New Roman"/>
          <w:b/>
          <w:i/>
          <w:iCs/>
          <w:sz w:val="22"/>
          <w:szCs w:val="22"/>
        </w:rPr>
        <w:t xml:space="preserve">for the case of indirect RRM measurement event prediction, the information in the measurement report </w:t>
      </w:r>
      <w:r w:rsidR="000C39FC">
        <w:rPr>
          <w:rFonts w:ascii="Times New Roman" w:hAnsi="Times New Roman"/>
          <w:b/>
          <w:i/>
          <w:iCs/>
          <w:sz w:val="22"/>
          <w:szCs w:val="22"/>
        </w:rPr>
        <w:t xml:space="preserve">sent upon event prediction </w:t>
      </w:r>
      <w:r w:rsidRPr="00786702">
        <w:rPr>
          <w:rFonts w:ascii="Times New Roman" w:hAnsi="Times New Roman"/>
          <w:b/>
          <w:i/>
          <w:iCs/>
          <w:sz w:val="22"/>
          <w:szCs w:val="22"/>
        </w:rPr>
        <w:t>includes:</w:t>
      </w:r>
    </w:p>
    <w:p w14:paraId="02BEA7FF" w14:textId="77777777" w:rsidR="00CD5746" w:rsidRPr="00786702" w:rsidRDefault="00CD5746" w:rsidP="00CD5746">
      <w:pPr>
        <w:pStyle w:val="ListParagraph"/>
        <w:numPr>
          <w:ilvl w:val="0"/>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 xml:space="preserve">RRM measurement results (actual and/or predicted) based on the respective RRM measurement prediction </w:t>
      </w:r>
      <w:r>
        <w:rPr>
          <w:rFonts w:ascii="Times New Roman" w:hAnsi="Times New Roman"/>
          <w:b/>
          <w:i/>
          <w:iCs/>
          <w:sz w:val="22"/>
          <w:szCs w:val="22"/>
        </w:rPr>
        <w:t xml:space="preserve">sub use </w:t>
      </w:r>
      <w:r w:rsidRPr="00786702">
        <w:rPr>
          <w:rFonts w:ascii="Times New Roman" w:hAnsi="Times New Roman"/>
          <w:b/>
          <w:i/>
          <w:iCs/>
          <w:sz w:val="22"/>
          <w:szCs w:val="22"/>
        </w:rPr>
        <w:t>case:</w:t>
      </w:r>
    </w:p>
    <w:p w14:paraId="673F86B9" w14:textId="77777777" w:rsidR="00CD5746" w:rsidRPr="00786702" w:rsidRDefault="00CD5746" w:rsidP="00CD5746">
      <w:pPr>
        <w:pStyle w:val="ListParagraph"/>
        <w:numPr>
          <w:ilvl w:val="1"/>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 xml:space="preserve">For intra-frequency temporal domain case A, one or more instances of predicted measurement result(s) in </w:t>
      </w:r>
      <w:r>
        <w:rPr>
          <w:rFonts w:ascii="Times New Roman" w:hAnsi="Times New Roman"/>
          <w:b/>
          <w:i/>
          <w:iCs/>
          <w:sz w:val="22"/>
          <w:szCs w:val="22"/>
        </w:rPr>
        <w:t xml:space="preserve">the </w:t>
      </w:r>
      <w:r w:rsidRPr="00786702">
        <w:rPr>
          <w:rFonts w:ascii="Times New Roman" w:hAnsi="Times New Roman"/>
          <w:b/>
          <w:i/>
          <w:iCs/>
          <w:sz w:val="22"/>
          <w:szCs w:val="22"/>
        </w:rPr>
        <w:t>PW</w:t>
      </w:r>
    </w:p>
    <w:p w14:paraId="0B20640B" w14:textId="77777777" w:rsidR="00CD5746" w:rsidRPr="00786702" w:rsidRDefault="00CD5746" w:rsidP="00CD5746">
      <w:pPr>
        <w:pStyle w:val="ListParagraph"/>
        <w:numPr>
          <w:ilvl w:val="1"/>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For intra-frequency temporal domain case B, the latest actual or predicted measurement result</w:t>
      </w:r>
      <w:r>
        <w:rPr>
          <w:rFonts w:ascii="Times New Roman" w:hAnsi="Times New Roman"/>
          <w:b/>
          <w:i/>
          <w:iCs/>
          <w:sz w:val="22"/>
          <w:szCs w:val="22"/>
        </w:rPr>
        <w:t>(s)</w:t>
      </w:r>
    </w:p>
    <w:p w14:paraId="74AAB5A3" w14:textId="77777777" w:rsidR="00CD5746" w:rsidRPr="00786702" w:rsidRDefault="00CD5746" w:rsidP="00CD5746">
      <w:pPr>
        <w:pStyle w:val="ListParagraph"/>
        <w:numPr>
          <w:ilvl w:val="1"/>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For inter-frequency prediction, the latest predicted measurement result.</w:t>
      </w:r>
    </w:p>
    <w:p w14:paraId="54071E88" w14:textId="77777777" w:rsidR="00CD5746" w:rsidRPr="00786702" w:rsidRDefault="00CD5746" w:rsidP="00CD5746">
      <w:pPr>
        <w:pStyle w:val="ListParagraph"/>
        <w:numPr>
          <w:ilvl w:val="0"/>
          <w:numId w:val="26"/>
        </w:numPr>
        <w:tabs>
          <w:tab w:val="left" w:pos="1377"/>
        </w:tabs>
        <w:jc w:val="left"/>
        <w:rPr>
          <w:rFonts w:ascii="Times New Roman" w:hAnsi="Times New Roman"/>
          <w:b/>
          <w:i/>
          <w:iCs/>
          <w:sz w:val="22"/>
          <w:szCs w:val="22"/>
        </w:rPr>
      </w:pPr>
      <w:r w:rsidRPr="00786702">
        <w:rPr>
          <w:rFonts w:ascii="Times New Roman" w:hAnsi="Times New Roman"/>
          <w:b/>
          <w:i/>
          <w:iCs/>
          <w:sz w:val="22"/>
          <w:szCs w:val="22"/>
        </w:rPr>
        <w:t>Time-related information about the predicted event (e.g., the expected time of occurrence)</w:t>
      </w:r>
    </w:p>
    <w:p w14:paraId="24544C18" w14:textId="77777777" w:rsidR="008D1891" w:rsidRDefault="008D1891" w:rsidP="00BE0060">
      <w:pPr>
        <w:rPr>
          <w:highlight w:val="lightGray"/>
        </w:rPr>
      </w:pPr>
    </w:p>
    <w:p w14:paraId="656CC6C8" w14:textId="5F0A2C59" w:rsidR="00BE0060" w:rsidRPr="00F50E1F" w:rsidRDefault="00BE0060" w:rsidP="00BE0060">
      <w:pPr>
        <w:rPr>
          <w:highlight w:val="lightGray"/>
        </w:rPr>
      </w:pPr>
      <w:r w:rsidRPr="00F50E1F">
        <w:rPr>
          <w:highlight w:val="lightGray"/>
        </w:rPr>
        <w:t>[Network side additional condition (associated IDs)]</w:t>
      </w:r>
    </w:p>
    <w:p w14:paraId="01EF13F9" w14:textId="77777777" w:rsidR="00613748" w:rsidRPr="007B6063" w:rsidRDefault="00613748" w:rsidP="00613748">
      <w:pPr>
        <w:tabs>
          <w:tab w:val="left" w:pos="1377"/>
        </w:tabs>
        <w:ind w:left="1354" w:hanging="1354"/>
        <w:jc w:val="left"/>
        <w:rPr>
          <w:rFonts w:ascii="Times New Roman" w:hAnsi="Times New Roman"/>
          <w:bCs/>
          <w:i/>
          <w:iCs/>
          <w:sz w:val="22"/>
          <w:szCs w:val="22"/>
        </w:rPr>
      </w:pPr>
      <w:r w:rsidRPr="00100DA2">
        <w:rPr>
          <w:rFonts w:ascii="Times New Roman" w:hAnsi="Times New Roman"/>
          <w:b/>
          <w:i/>
          <w:iCs/>
          <w:sz w:val="22"/>
          <w:szCs w:val="22"/>
        </w:rPr>
        <w:t xml:space="preserve">Observation 6: </w:t>
      </w:r>
      <w:r w:rsidRPr="007B6063">
        <w:rPr>
          <w:rFonts w:ascii="Times New Roman" w:hAnsi="Times New Roman"/>
          <w:bCs/>
          <w:i/>
          <w:iCs/>
          <w:sz w:val="22"/>
          <w:szCs w:val="22"/>
        </w:rPr>
        <w:t xml:space="preserve">There may be cases in </w:t>
      </w:r>
      <w:r>
        <w:rPr>
          <w:rFonts w:ascii="Times New Roman" w:hAnsi="Times New Roman"/>
          <w:bCs/>
          <w:i/>
          <w:iCs/>
          <w:sz w:val="22"/>
          <w:szCs w:val="22"/>
        </w:rPr>
        <w:t xml:space="preserve">indirect </w:t>
      </w:r>
      <w:r w:rsidRPr="007B6063">
        <w:rPr>
          <w:rFonts w:ascii="Times New Roman" w:hAnsi="Times New Roman"/>
          <w:bCs/>
          <w:i/>
          <w:iCs/>
          <w:sz w:val="22"/>
          <w:szCs w:val="22"/>
        </w:rPr>
        <w:t xml:space="preserve">RRM measurement event prediction where there is a partial match between the associated IDs of the input/output cells used during the training of the AIML model and the current associated IDs of the concerned cells. </w:t>
      </w:r>
    </w:p>
    <w:p w14:paraId="1D53AFF0" w14:textId="1E76AD94" w:rsidR="00613748" w:rsidRPr="00F84473" w:rsidRDefault="00613748" w:rsidP="00613748">
      <w:pPr>
        <w:tabs>
          <w:tab w:val="left" w:pos="1377"/>
        </w:tabs>
        <w:ind w:left="1170" w:hanging="1170"/>
        <w:jc w:val="left"/>
        <w:rPr>
          <w:rFonts w:ascii="Times New Roman" w:hAnsi="Times New Roman"/>
          <w:b/>
          <w:i/>
          <w:iCs/>
          <w:sz w:val="22"/>
          <w:szCs w:val="22"/>
        </w:rPr>
      </w:pPr>
      <w:r w:rsidRPr="00F36342">
        <w:rPr>
          <w:rFonts w:ascii="Times New Roman" w:hAnsi="Times New Roman"/>
          <w:b/>
          <w:sz w:val="22"/>
          <w:szCs w:val="22"/>
          <w:u w:val="single"/>
        </w:rPr>
        <w:t xml:space="preserve">Proposal </w:t>
      </w:r>
      <w:r w:rsidR="00BD2CE4">
        <w:rPr>
          <w:rFonts w:ascii="Times New Roman" w:hAnsi="Times New Roman"/>
          <w:b/>
          <w:sz w:val="22"/>
          <w:szCs w:val="22"/>
          <w:u w:val="single"/>
        </w:rPr>
        <w:t>8</w:t>
      </w:r>
      <w:r w:rsidRPr="00F36342">
        <w:rPr>
          <w:rFonts w:ascii="Times New Roman" w:hAnsi="Times New Roman"/>
          <w:b/>
          <w:sz w:val="22"/>
          <w:szCs w:val="22"/>
          <w:u w:val="single"/>
        </w:rPr>
        <w:t>:</w:t>
      </w:r>
      <w:r w:rsidRPr="007B6063">
        <w:rPr>
          <w:rFonts w:ascii="Times New Roman" w:hAnsi="Times New Roman"/>
          <w:b/>
          <w:sz w:val="22"/>
          <w:szCs w:val="22"/>
        </w:rPr>
        <w:t xml:space="preserve"> </w:t>
      </w:r>
      <w:r w:rsidRPr="00F84473">
        <w:rPr>
          <w:rFonts w:ascii="Times New Roman" w:hAnsi="Times New Roman"/>
          <w:b/>
          <w:i/>
          <w:iCs/>
          <w:sz w:val="22"/>
          <w:szCs w:val="22"/>
        </w:rPr>
        <w:t>For indirect RRM measurement event prediction, the AIML configuration may be fully applicable, fully non-applicable, or partially applicable.</w:t>
      </w:r>
    </w:p>
    <w:p w14:paraId="5698FC9F" w14:textId="77777777" w:rsidR="00BE0060" w:rsidRPr="00F50E1F" w:rsidRDefault="00BE0060" w:rsidP="00BE0060">
      <w:pPr>
        <w:tabs>
          <w:tab w:val="left" w:pos="0"/>
        </w:tabs>
        <w:jc w:val="left"/>
        <w:rPr>
          <w:rFonts w:cs="Arial"/>
          <w:sz w:val="18"/>
          <w:szCs w:val="18"/>
        </w:rPr>
      </w:pPr>
    </w:p>
    <w:p w14:paraId="46204643" w14:textId="77777777" w:rsidR="00BE0060" w:rsidRPr="00F50E1F" w:rsidRDefault="00BE0060" w:rsidP="00BE0060">
      <w:r w:rsidRPr="00F50E1F">
        <w:rPr>
          <w:highlight w:val="lightGray"/>
        </w:rPr>
        <w:t>[Performing Inference]</w:t>
      </w:r>
    </w:p>
    <w:p w14:paraId="7F08CB01" w14:textId="77777777" w:rsidR="00613748" w:rsidRPr="002D6AF6" w:rsidRDefault="00613748" w:rsidP="00613748">
      <w:pPr>
        <w:tabs>
          <w:tab w:val="left" w:pos="1377"/>
        </w:tabs>
        <w:ind w:left="1354" w:hanging="1354"/>
        <w:jc w:val="left"/>
        <w:rPr>
          <w:rFonts w:ascii="Times New Roman" w:eastAsia="DengXian" w:hAnsi="Times New Roman"/>
          <w:sz w:val="22"/>
          <w:szCs w:val="22"/>
        </w:rPr>
      </w:pPr>
      <w:r w:rsidRPr="00E0753D">
        <w:rPr>
          <w:rFonts w:ascii="Times New Roman" w:hAnsi="Times New Roman"/>
          <w:b/>
          <w:i/>
          <w:iCs/>
          <w:sz w:val="22"/>
          <w:szCs w:val="22"/>
        </w:rPr>
        <w:t>Observation 7:</w:t>
      </w:r>
      <w:r w:rsidRPr="002D6AF6">
        <w:rPr>
          <w:rFonts w:ascii="Times New Roman" w:hAnsi="Times New Roman"/>
          <w:bCs/>
          <w:i/>
          <w:iCs/>
          <w:sz w:val="22"/>
          <w:szCs w:val="22"/>
        </w:rPr>
        <w:t xml:space="preserve"> Performing </w:t>
      </w:r>
      <w:r>
        <w:rPr>
          <w:rFonts w:ascii="Times New Roman" w:hAnsi="Times New Roman"/>
          <w:bCs/>
          <w:i/>
          <w:iCs/>
          <w:sz w:val="22"/>
          <w:szCs w:val="22"/>
        </w:rPr>
        <w:t xml:space="preserve">indirect </w:t>
      </w:r>
      <w:r w:rsidRPr="002D6AF6">
        <w:rPr>
          <w:rFonts w:ascii="Times New Roman" w:hAnsi="Times New Roman"/>
          <w:bCs/>
          <w:i/>
          <w:iCs/>
          <w:sz w:val="22"/>
          <w:szCs w:val="22"/>
        </w:rPr>
        <w:t>RRM measurement event predictions all the time is highly inefficient (e.g., when the UE is under excellent serving cell coverage).</w:t>
      </w:r>
    </w:p>
    <w:p w14:paraId="16222DB6" w14:textId="4E6911E0" w:rsidR="00BE0060" w:rsidRPr="0067278F" w:rsidRDefault="00613748" w:rsidP="00BE0060">
      <w:pPr>
        <w:tabs>
          <w:tab w:val="left" w:pos="1377"/>
        </w:tabs>
        <w:ind w:left="1170" w:hanging="1170"/>
        <w:jc w:val="left"/>
        <w:rPr>
          <w:rFonts w:ascii="Times New Roman" w:hAnsi="Times New Roman"/>
          <w:b/>
          <w:i/>
          <w:iCs/>
          <w:sz w:val="22"/>
          <w:szCs w:val="22"/>
        </w:rPr>
      </w:pPr>
      <w:r w:rsidRPr="00613748">
        <w:rPr>
          <w:rFonts w:ascii="Times New Roman" w:hAnsi="Times New Roman"/>
          <w:b/>
          <w:sz w:val="22"/>
          <w:szCs w:val="22"/>
          <w:u w:val="single"/>
        </w:rPr>
        <w:t>P</w:t>
      </w:r>
      <w:r w:rsidR="00BE0060" w:rsidRPr="0067278F">
        <w:rPr>
          <w:rFonts w:ascii="Times New Roman" w:hAnsi="Times New Roman"/>
          <w:b/>
          <w:sz w:val="22"/>
          <w:szCs w:val="22"/>
          <w:u w:val="single"/>
        </w:rPr>
        <w:t xml:space="preserve">roposal </w:t>
      </w:r>
      <w:r w:rsidR="00BD2CE4">
        <w:rPr>
          <w:rFonts w:ascii="Times New Roman" w:hAnsi="Times New Roman"/>
          <w:b/>
          <w:sz w:val="22"/>
          <w:szCs w:val="22"/>
          <w:u w:val="single"/>
        </w:rPr>
        <w:t>9</w:t>
      </w:r>
      <w:r w:rsidR="00BE0060" w:rsidRPr="0067278F">
        <w:rPr>
          <w:rFonts w:ascii="Times New Roman" w:hAnsi="Times New Roman"/>
          <w:b/>
          <w:sz w:val="22"/>
          <w:szCs w:val="22"/>
          <w:u w:val="single"/>
        </w:rPr>
        <w:t>:</w:t>
      </w:r>
      <w:r w:rsidR="009B2AB0" w:rsidRPr="009B2AB0">
        <w:rPr>
          <w:rFonts w:ascii="Times New Roman" w:hAnsi="Times New Roman"/>
          <w:b/>
          <w:sz w:val="22"/>
          <w:szCs w:val="22"/>
        </w:rPr>
        <w:t xml:space="preserve"> </w:t>
      </w:r>
      <w:r w:rsidR="00BE0060" w:rsidRPr="0067278F">
        <w:rPr>
          <w:rFonts w:ascii="Times New Roman" w:hAnsi="Times New Roman"/>
          <w:b/>
          <w:i/>
          <w:iCs/>
          <w:sz w:val="22"/>
          <w:szCs w:val="22"/>
        </w:rPr>
        <w:t>The UE can be configured to start performing RRM measurement event predictions in one of the following ways:</w:t>
      </w:r>
    </w:p>
    <w:p w14:paraId="38406866" w14:textId="77777777" w:rsidR="00BE0060" w:rsidRPr="0067278F" w:rsidRDefault="00BE0060" w:rsidP="00BE0060">
      <w:pPr>
        <w:pStyle w:val="ListParagraph"/>
        <w:numPr>
          <w:ilvl w:val="0"/>
          <w:numId w:val="21"/>
        </w:numPr>
        <w:tabs>
          <w:tab w:val="left" w:pos="1377"/>
        </w:tabs>
        <w:jc w:val="left"/>
        <w:rPr>
          <w:rFonts w:ascii="Times New Roman" w:hAnsi="Times New Roman"/>
          <w:b/>
          <w:i/>
          <w:iCs/>
          <w:sz w:val="22"/>
          <w:szCs w:val="22"/>
        </w:rPr>
      </w:pPr>
      <w:r w:rsidRPr="0067278F">
        <w:rPr>
          <w:rFonts w:ascii="Times New Roman" w:hAnsi="Times New Roman"/>
          <w:b/>
          <w:i/>
          <w:iCs/>
          <w:sz w:val="22"/>
          <w:szCs w:val="22"/>
        </w:rPr>
        <w:t>Automatically, upon the reception of the inference configuration and after determining that it has an applicable model.</w:t>
      </w:r>
    </w:p>
    <w:p w14:paraId="19F1DD42" w14:textId="77777777" w:rsidR="00BE0060" w:rsidRPr="002D6AF6" w:rsidRDefault="00BE0060" w:rsidP="00BE0060">
      <w:pPr>
        <w:pStyle w:val="ListParagraph"/>
        <w:numPr>
          <w:ilvl w:val="0"/>
          <w:numId w:val="21"/>
        </w:numPr>
        <w:tabs>
          <w:tab w:val="left" w:pos="1377"/>
        </w:tabs>
        <w:jc w:val="left"/>
        <w:rPr>
          <w:rFonts w:ascii="Times New Roman" w:hAnsi="Times New Roman"/>
          <w:b/>
          <w:sz w:val="22"/>
          <w:szCs w:val="22"/>
        </w:rPr>
      </w:pPr>
      <w:r w:rsidRPr="0067278F">
        <w:rPr>
          <w:rFonts w:ascii="Times New Roman" w:hAnsi="Times New Roman"/>
          <w:b/>
          <w:i/>
          <w:iCs/>
          <w:sz w:val="22"/>
          <w:szCs w:val="22"/>
        </w:rPr>
        <w:t>Upon the fulfilment of further conditions. The details of the conditions are FFS (e.g., configuration like the s-measure for starting inference).</w:t>
      </w:r>
    </w:p>
    <w:p w14:paraId="00AC6645" w14:textId="77777777" w:rsidR="001028AB" w:rsidRPr="00881FE5" w:rsidRDefault="001028AB" w:rsidP="0033231E">
      <w:pPr>
        <w:pStyle w:val="Heading1"/>
        <w:rPr>
          <w:sz w:val="32"/>
          <w:szCs w:val="32"/>
        </w:rPr>
      </w:pPr>
      <w:r w:rsidRPr="00881FE5">
        <w:rPr>
          <w:sz w:val="32"/>
          <w:szCs w:val="32"/>
        </w:rPr>
        <w:t>4. References</w:t>
      </w:r>
    </w:p>
    <w:p w14:paraId="31DDE27D" w14:textId="77777777" w:rsidR="00672B0D" w:rsidRPr="00F50E1F" w:rsidRDefault="00672B0D" w:rsidP="0033231E">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50E1F">
        <w:rPr>
          <w:rFonts w:ascii="Times New Roman" w:hAnsi="Times New Roman"/>
          <w:szCs w:val="18"/>
          <w:lang w:val="en-GB"/>
        </w:rPr>
        <w:t>TR 38.744, Study on Artificial Intelligence (AI)/Machine Learning (ML) for Mobility in NR (Release 19), October 2025</w:t>
      </w:r>
    </w:p>
    <w:p w14:paraId="2846AF7A" w14:textId="77777777" w:rsidR="00672B0D" w:rsidRPr="00F50E1F" w:rsidRDefault="00672B0D" w:rsidP="0033231E">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50E1F">
        <w:rPr>
          <w:rFonts w:ascii="Times New Roman" w:hAnsi="Times New Roman"/>
          <w:szCs w:val="18"/>
          <w:lang w:val="en-GB"/>
        </w:rPr>
        <w:t>RP-252899, Revised WI: Artificial Intelligence (AI)/Machine Learning (ML) for mobility in NR, OPPO/Interdigital, RAN#109, Sept 2025</w:t>
      </w:r>
    </w:p>
    <w:p w14:paraId="3AC69B89" w14:textId="77777777" w:rsidR="00672B0D" w:rsidRPr="00624E6B" w:rsidRDefault="00672B0D" w:rsidP="0033231E">
      <w:pPr>
        <w:pStyle w:val="11BodyText"/>
        <w:numPr>
          <w:ilvl w:val="0"/>
          <w:numId w:val="27"/>
        </w:numPr>
        <w:tabs>
          <w:tab w:val="clear" w:pos="720"/>
          <w:tab w:val="num" w:pos="450"/>
          <w:tab w:val="left" w:pos="1080"/>
        </w:tabs>
        <w:overflowPunct w:val="0"/>
        <w:autoSpaceDE w:val="0"/>
        <w:autoSpaceDN w:val="0"/>
        <w:adjustRightInd w:val="0"/>
        <w:spacing w:after="120"/>
        <w:ind w:left="540" w:hanging="540"/>
        <w:textAlignment w:val="baseline"/>
        <w:rPr>
          <w:rFonts w:ascii="Times New Roman" w:hAnsi="Times New Roman"/>
          <w:szCs w:val="18"/>
        </w:rPr>
      </w:pPr>
      <w:r w:rsidRPr="00F50E1F">
        <w:rPr>
          <w:rFonts w:ascii="Times New Roman" w:hAnsi="Times New Roman"/>
          <w:szCs w:val="18"/>
          <w:lang w:val="en-GB"/>
        </w:rPr>
        <w:t>R2-2508466, Correction on AI for NR Air interface feature in TS38.300, Vivo (Rapporteur), RAN2-132, Dallas, November 2025</w:t>
      </w:r>
    </w:p>
    <w:p w14:paraId="7F94A45C" w14:textId="77777777" w:rsidR="00F33CE6" w:rsidRPr="00881FE5" w:rsidRDefault="00F33CE6" w:rsidP="0033231E">
      <w:pPr>
        <w:jc w:val="left"/>
      </w:pPr>
    </w:p>
    <w:p w14:paraId="339E07F1" w14:textId="77777777" w:rsidR="00F33CE6" w:rsidRPr="00881FE5" w:rsidRDefault="00F33CE6" w:rsidP="0033231E">
      <w:pPr>
        <w:jc w:val="left"/>
      </w:pPr>
    </w:p>
    <w:p w14:paraId="5E16C3C4" w14:textId="585EBDB2" w:rsidR="00B04ADD" w:rsidRPr="00881FE5" w:rsidRDefault="00B04ADD" w:rsidP="0033231E">
      <w:pPr>
        <w:tabs>
          <w:tab w:val="left" w:pos="1622"/>
        </w:tabs>
        <w:overflowPunct/>
        <w:autoSpaceDE/>
        <w:autoSpaceDN/>
        <w:adjustRightInd/>
        <w:spacing w:after="0"/>
        <w:jc w:val="left"/>
        <w:textAlignment w:val="auto"/>
        <w:rPr>
          <w:rFonts w:eastAsia="MS Mincho"/>
          <w:szCs w:val="24"/>
          <w:lang w:eastAsia="en-GB"/>
        </w:rPr>
      </w:pPr>
    </w:p>
    <w:p w14:paraId="3DA5D523" w14:textId="77777777" w:rsidR="00B04ADD" w:rsidRPr="00881FE5" w:rsidRDefault="00B04ADD" w:rsidP="0033231E">
      <w:pPr>
        <w:tabs>
          <w:tab w:val="left" w:pos="1622"/>
        </w:tabs>
        <w:overflowPunct/>
        <w:autoSpaceDE/>
        <w:autoSpaceDN/>
        <w:adjustRightInd/>
        <w:spacing w:after="0"/>
        <w:jc w:val="left"/>
        <w:textAlignment w:val="auto"/>
        <w:rPr>
          <w:rFonts w:eastAsia="MS Mincho"/>
          <w:szCs w:val="24"/>
          <w:lang w:eastAsia="en-GB"/>
        </w:rPr>
      </w:pPr>
    </w:p>
    <w:p w14:paraId="3E42A9EB" w14:textId="77777777" w:rsidR="00791847" w:rsidRDefault="00791847" w:rsidP="0033231E">
      <w:pPr>
        <w:tabs>
          <w:tab w:val="left" w:pos="1622"/>
        </w:tabs>
        <w:overflowPunct/>
        <w:autoSpaceDE/>
        <w:autoSpaceDN/>
        <w:adjustRightInd/>
        <w:spacing w:after="0"/>
        <w:jc w:val="left"/>
        <w:textAlignment w:val="auto"/>
        <w:rPr>
          <w:rFonts w:eastAsia="MS Mincho"/>
          <w:szCs w:val="24"/>
          <w:lang w:eastAsia="en-GB"/>
        </w:rPr>
      </w:pPr>
    </w:p>
    <w:sectPr w:rsidR="00791847"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AAC2C" w14:textId="77777777" w:rsidR="001340A5" w:rsidRPr="00881FE5" w:rsidRDefault="001340A5">
      <w:r w:rsidRPr="00881FE5">
        <w:separator/>
      </w:r>
    </w:p>
  </w:endnote>
  <w:endnote w:type="continuationSeparator" w:id="0">
    <w:p w14:paraId="3015AA7D" w14:textId="77777777" w:rsidR="001340A5" w:rsidRPr="00881FE5" w:rsidRDefault="001340A5">
      <w:r w:rsidRPr="00881FE5">
        <w:continuationSeparator/>
      </w:r>
    </w:p>
  </w:endnote>
  <w:endnote w:type="continuationNotice" w:id="1">
    <w:p w14:paraId="3AEFE6E6" w14:textId="77777777" w:rsidR="001340A5" w:rsidRPr="00881FE5" w:rsidRDefault="00134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BB4ED" w14:textId="77777777" w:rsidR="001340A5" w:rsidRPr="00881FE5" w:rsidRDefault="001340A5">
      <w:r w:rsidRPr="00881FE5">
        <w:separator/>
      </w:r>
    </w:p>
  </w:footnote>
  <w:footnote w:type="continuationSeparator" w:id="0">
    <w:p w14:paraId="62B30F4C" w14:textId="77777777" w:rsidR="001340A5" w:rsidRPr="00881FE5" w:rsidRDefault="001340A5">
      <w:r w:rsidRPr="00881FE5">
        <w:continuationSeparator/>
      </w:r>
    </w:p>
  </w:footnote>
  <w:footnote w:type="continuationNotice" w:id="1">
    <w:p w14:paraId="7269A67C" w14:textId="77777777" w:rsidR="001340A5" w:rsidRPr="00881FE5" w:rsidRDefault="001340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1318466D"/>
    <w:multiLevelType w:val="hybridMultilevel"/>
    <w:tmpl w:val="F1CCA84C"/>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CB72F37"/>
    <w:multiLevelType w:val="hybridMultilevel"/>
    <w:tmpl w:val="F7840D6A"/>
    <w:lvl w:ilvl="0" w:tplc="00E82F60">
      <w:start w:val="3"/>
      <w:numFmt w:val="decimal"/>
      <w:lvlText w:val="%1"/>
      <w:lvlJc w:val="left"/>
      <w:pPr>
        <w:ind w:left="360" w:hanging="360"/>
      </w:pPr>
      <w:rPr>
        <w:rFonts w:hint="default"/>
      </w:rPr>
    </w:lvl>
    <w:lvl w:ilvl="1" w:tplc="04090019">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5"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895385E"/>
    <w:multiLevelType w:val="hybridMultilevel"/>
    <w:tmpl w:val="355C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5043E3"/>
    <w:multiLevelType w:val="hybridMultilevel"/>
    <w:tmpl w:val="4B8481BE"/>
    <w:lvl w:ilvl="0" w:tplc="04090001">
      <w:start w:val="1"/>
      <w:numFmt w:val="bullet"/>
      <w:lvlText w:val=""/>
      <w:lvlJc w:val="left"/>
      <w:pPr>
        <w:ind w:left="1894" w:hanging="360"/>
      </w:pPr>
      <w:rPr>
        <w:rFonts w:ascii="Symbol" w:hAnsi="Symbol"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BA42A5"/>
    <w:multiLevelType w:val="hybridMultilevel"/>
    <w:tmpl w:val="0AA6CBC8"/>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8EC57EF"/>
    <w:multiLevelType w:val="hybridMultilevel"/>
    <w:tmpl w:val="6182240C"/>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25"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3"/>
  </w:num>
  <w:num w:numId="2" w16cid:durableId="2096196966">
    <w:abstractNumId w:val="9"/>
  </w:num>
  <w:num w:numId="3" w16cid:durableId="802044280">
    <w:abstractNumId w:val="6"/>
  </w:num>
  <w:num w:numId="4" w16cid:durableId="1857310106">
    <w:abstractNumId w:val="16"/>
  </w:num>
  <w:num w:numId="5" w16cid:durableId="1255479474">
    <w:abstractNumId w:val="8"/>
  </w:num>
  <w:num w:numId="6" w16cid:durableId="487593010">
    <w:abstractNumId w:val="26"/>
  </w:num>
  <w:num w:numId="7" w16cid:durableId="1721663231">
    <w:abstractNumId w:val="15"/>
  </w:num>
  <w:num w:numId="8" w16cid:durableId="1406338349">
    <w:abstractNumId w:val="22"/>
  </w:num>
  <w:num w:numId="9" w16cid:durableId="1285846033">
    <w:abstractNumId w:val="21"/>
  </w:num>
  <w:num w:numId="10" w16cid:durableId="1549730622">
    <w:abstractNumId w:val="3"/>
  </w:num>
  <w:num w:numId="11" w16cid:durableId="1171677238">
    <w:abstractNumId w:val="11"/>
  </w:num>
  <w:num w:numId="12" w16cid:durableId="502597322">
    <w:abstractNumId w:val="5"/>
  </w:num>
  <w:num w:numId="13" w16cid:durableId="872153916">
    <w:abstractNumId w:val="7"/>
  </w:num>
  <w:num w:numId="14" w16cid:durableId="1746878216">
    <w:abstractNumId w:val="20"/>
  </w:num>
  <w:num w:numId="15" w16cid:durableId="463885680">
    <w:abstractNumId w:val="14"/>
  </w:num>
  <w:num w:numId="16" w16cid:durableId="158618464">
    <w:abstractNumId w:val="19"/>
  </w:num>
  <w:num w:numId="17" w16cid:durableId="542981474">
    <w:abstractNumId w:val="0"/>
  </w:num>
  <w:num w:numId="18" w16cid:durableId="290332690">
    <w:abstractNumId w:val="25"/>
  </w:num>
  <w:num w:numId="19" w16cid:durableId="1647082878">
    <w:abstractNumId w:val="4"/>
  </w:num>
  <w:num w:numId="20" w16cid:durableId="922374704">
    <w:abstractNumId w:val="12"/>
  </w:num>
  <w:num w:numId="21" w16cid:durableId="564874182">
    <w:abstractNumId w:val="10"/>
  </w:num>
  <w:num w:numId="22" w16cid:durableId="332144918">
    <w:abstractNumId w:val="24"/>
  </w:num>
  <w:num w:numId="23" w16cid:durableId="1442846573">
    <w:abstractNumId w:val="17"/>
  </w:num>
  <w:num w:numId="24" w16cid:durableId="1729303644">
    <w:abstractNumId w:val="2"/>
  </w:num>
  <w:num w:numId="25" w16cid:durableId="376658926">
    <w:abstractNumId w:val="23"/>
  </w:num>
  <w:num w:numId="26" w16cid:durableId="557129202">
    <w:abstractNumId w:val="1"/>
  </w:num>
  <w:num w:numId="27" w16cid:durableId="174752759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791"/>
    <w:rsid w:val="00007970"/>
    <w:rsid w:val="00007A0A"/>
    <w:rsid w:val="00007CDC"/>
    <w:rsid w:val="000100F5"/>
    <w:rsid w:val="0001082E"/>
    <w:rsid w:val="00010B7B"/>
    <w:rsid w:val="00011633"/>
    <w:rsid w:val="00011928"/>
    <w:rsid w:val="00011B28"/>
    <w:rsid w:val="00011DF9"/>
    <w:rsid w:val="00011E16"/>
    <w:rsid w:val="00012845"/>
    <w:rsid w:val="00012B04"/>
    <w:rsid w:val="00012BF5"/>
    <w:rsid w:val="00013384"/>
    <w:rsid w:val="000142E0"/>
    <w:rsid w:val="0001459C"/>
    <w:rsid w:val="00014A34"/>
    <w:rsid w:val="00014A91"/>
    <w:rsid w:val="0001536F"/>
    <w:rsid w:val="0001570A"/>
    <w:rsid w:val="00015D15"/>
    <w:rsid w:val="0001623E"/>
    <w:rsid w:val="00016368"/>
    <w:rsid w:val="00016433"/>
    <w:rsid w:val="0001662B"/>
    <w:rsid w:val="00016C37"/>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386"/>
    <w:rsid w:val="00027537"/>
    <w:rsid w:val="00027938"/>
    <w:rsid w:val="00027BFA"/>
    <w:rsid w:val="00027C86"/>
    <w:rsid w:val="00027C93"/>
    <w:rsid w:val="00030579"/>
    <w:rsid w:val="00031F54"/>
    <w:rsid w:val="0003222D"/>
    <w:rsid w:val="000322B1"/>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EC9"/>
    <w:rsid w:val="0003506D"/>
    <w:rsid w:val="00035103"/>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57E99"/>
    <w:rsid w:val="000601F1"/>
    <w:rsid w:val="00060703"/>
    <w:rsid w:val="00060B64"/>
    <w:rsid w:val="000616E7"/>
    <w:rsid w:val="00061AA2"/>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248"/>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277"/>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B37"/>
    <w:rsid w:val="000A2CD0"/>
    <w:rsid w:val="000A3DE2"/>
    <w:rsid w:val="000A48BC"/>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1D5F"/>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9FC"/>
    <w:rsid w:val="000C3F33"/>
    <w:rsid w:val="000C46E8"/>
    <w:rsid w:val="000C4A50"/>
    <w:rsid w:val="000C4BAD"/>
    <w:rsid w:val="000C4EE8"/>
    <w:rsid w:val="000C590A"/>
    <w:rsid w:val="000C5F14"/>
    <w:rsid w:val="000C625C"/>
    <w:rsid w:val="000C6D42"/>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41D"/>
    <w:rsid w:val="000D2EC5"/>
    <w:rsid w:val="000D3105"/>
    <w:rsid w:val="000D31CB"/>
    <w:rsid w:val="000D3252"/>
    <w:rsid w:val="000D3654"/>
    <w:rsid w:val="000D3CA9"/>
    <w:rsid w:val="000D3FDF"/>
    <w:rsid w:val="000D451C"/>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B76"/>
    <w:rsid w:val="000E4C22"/>
    <w:rsid w:val="000E4DF2"/>
    <w:rsid w:val="000E57CA"/>
    <w:rsid w:val="000E59CA"/>
    <w:rsid w:val="000E5E7C"/>
    <w:rsid w:val="000E628A"/>
    <w:rsid w:val="000E6299"/>
    <w:rsid w:val="000E66EC"/>
    <w:rsid w:val="000E7484"/>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897"/>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0DA2"/>
    <w:rsid w:val="001010DA"/>
    <w:rsid w:val="001016A5"/>
    <w:rsid w:val="00101826"/>
    <w:rsid w:val="001019DB"/>
    <w:rsid w:val="00101FCF"/>
    <w:rsid w:val="001028AB"/>
    <w:rsid w:val="00102E8A"/>
    <w:rsid w:val="00103AF1"/>
    <w:rsid w:val="00103C1D"/>
    <w:rsid w:val="00103E4F"/>
    <w:rsid w:val="00104854"/>
    <w:rsid w:val="001049C3"/>
    <w:rsid w:val="00105347"/>
    <w:rsid w:val="00105C9E"/>
    <w:rsid w:val="001062FB"/>
    <w:rsid w:val="00106309"/>
    <w:rsid w:val="0010632E"/>
    <w:rsid w:val="001063E6"/>
    <w:rsid w:val="00106B4C"/>
    <w:rsid w:val="00106C2E"/>
    <w:rsid w:val="00106C7A"/>
    <w:rsid w:val="001070A5"/>
    <w:rsid w:val="001071FD"/>
    <w:rsid w:val="001073B4"/>
    <w:rsid w:val="001104FC"/>
    <w:rsid w:val="00110E09"/>
    <w:rsid w:val="0011163C"/>
    <w:rsid w:val="00111C50"/>
    <w:rsid w:val="00112100"/>
    <w:rsid w:val="001122D0"/>
    <w:rsid w:val="001124C2"/>
    <w:rsid w:val="0011256D"/>
    <w:rsid w:val="001137DC"/>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5CE5"/>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27F2C"/>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40B"/>
    <w:rsid w:val="00133841"/>
    <w:rsid w:val="00133B31"/>
    <w:rsid w:val="00133EFC"/>
    <w:rsid w:val="001340A5"/>
    <w:rsid w:val="00134108"/>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65"/>
    <w:rsid w:val="00142CA4"/>
    <w:rsid w:val="00143C03"/>
    <w:rsid w:val="00143ECF"/>
    <w:rsid w:val="00143FC0"/>
    <w:rsid w:val="001440CC"/>
    <w:rsid w:val="00144802"/>
    <w:rsid w:val="00144BEB"/>
    <w:rsid w:val="00144C28"/>
    <w:rsid w:val="00144EBA"/>
    <w:rsid w:val="00144F73"/>
    <w:rsid w:val="00145999"/>
    <w:rsid w:val="00145AF7"/>
    <w:rsid w:val="00145FFA"/>
    <w:rsid w:val="00146363"/>
    <w:rsid w:val="0014682C"/>
    <w:rsid w:val="00146FA9"/>
    <w:rsid w:val="001470F5"/>
    <w:rsid w:val="00147108"/>
    <w:rsid w:val="00147271"/>
    <w:rsid w:val="0014742F"/>
    <w:rsid w:val="00147748"/>
    <w:rsid w:val="00147CBD"/>
    <w:rsid w:val="00147EB7"/>
    <w:rsid w:val="0015013F"/>
    <w:rsid w:val="00150AA5"/>
    <w:rsid w:val="00151739"/>
    <w:rsid w:val="001517C6"/>
    <w:rsid w:val="00151E23"/>
    <w:rsid w:val="001526E0"/>
    <w:rsid w:val="00152760"/>
    <w:rsid w:val="00152D49"/>
    <w:rsid w:val="00152EBC"/>
    <w:rsid w:val="00152FED"/>
    <w:rsid w:val="00153026"/>
    <w:rsid w:val="001535FE"/>
    <w:rsid w:val="00153B5D"/>
    <w:rsid w:val="00153CF4"/>
    <w:rsid w:val="001543F9"/>
    <w:rsid w:val="00154D37"/>
    <w:rsid w:val="00155028"/>
    <w:rsid w:val="0015504D"/>
    <w:rsid w:val="001551B5"/>
    <w:rsid w:val="001553BC"/>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9D6"/>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1F8"/>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1CF"/>
    <w:rsid w:val="0019320B"/>
    <w:rsid w:val="0019341A"/>
    <w:rsid w:val="00193B43"/>
    <w:rsid w:val="00193C5D"/>
    <w:rsid w:val="00194020"/>
    <w:rsid w:val="00194718"/>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CF"/>
    <w:rsid w:val="001A6BF2"/>
    <w:rsid w:val="001A6CBA"/>
    <w:rsid w:val="001A77AA"/>
    <w:rsid w:val="001A7A27"/>
    <w:rsid w:val="001A7C25"/>
    <w:rsid w:val="001B00E6"/>
    <w:rsid w:val="001B01D9"/>
    <w:rsid w:val="001B0335"/>
    <w:rsid w:val="001B0B12"/>
    <w:rsid w:val="001B0B49"/>
    <w:rsid w:val="001B0B68"/>
    <w:rsid w:val="001B0D44"/>
    <w:rsid w:val="001B0D97"/>
    <w:rsid w:val="001B1052"/>
    <w:rsid w:val="001B138A"/>
    <w:rsid w:val="001B1698"/>
    <w:rsid w:val="001B21A1"/>
    <w:rsid w:val="001B2A5A"/>
    <w:rsid w:val="001B2F65"/>
    <w:rsid w:val="001B310B"/>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156"/>
    <w:rsid w:val="001C0398"/>
    <w:rsid w:val="001C147A"/>
    <w:rsid w:val="001C1932"/>
    <w:rsid w:val="001C1947"/>
    <w:rsid w:val="001C1CE5"/>
    <w:rsid w:val="001C1F23"/>
    <w:rsid w:val="001C214C"/>
    <w:rsid w:val="001C23D4"/>
    <w:rsid w:val="001C2981"/>
    <w:rsid w:val="001C29B5"/>
    <w:rsid w:val="001C2BD1"/>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17BC"/>
    <w:rsid w:val="001D1C5A"/>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47B"/>
    <w:rsid w:val="001D6938"/>
    <w:rsid w:val="001D6BDD"/>
    <w:rsid w:val="001D6D0F"/>
    <w:rsid w:val="001D6D53"/>
    <w:rsid w:val="001D7170"/>
    <w:rsid w:val="001D740F"/>
    <w:rsid w:val="001D77B4"/>
    <w:rsid w:val="001D7874"/>
    <w:rsid w:val="001D7B36"/>
    <w:rsid w:val="001D7D56"/>
    <w:rsid w:val="001E0CD8"/>
    <w:rsid w:val="001E10C0"/>
    <w:rsid w:val="001E11A5"/>
    <w:rsid w:val="001E1381"/>
    <w:rsid w:val="001E1795"/>
    <w:rsid w:val="001E19D4"/>
    <w:rsid w:val="001E241F"/>
    <w:rsid w:val="001E262D"/>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2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757"/>
    <w:rsid w:val="00200A3B"/>
    <w:rsid w:val="00200F4D"/>
    <w:rsid w:val="002012E4"/>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CE9"/>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6EC"/>
    <w:rsid w:val="00210A11"/>
    <w:rsid w:val="00210A54"/>
    <w:rsid w:val="00210D16"/>
    <w:rsid w:val="00210D4B"/>
    <w:rsid w:val="00211070"/>
    <w:rsid w:val="002110B2"/>
    <w:rsid w:val="00212239"/>
    <w:rsid w:val="00212322"/>
    <w:rsid w:val="002129BA"/>
    <w:rsid w:val="002129C7"/>
    <w:rsid w:val="002130BF"/>
    <w:rsid w:val="00213964"/>
    <w:rsid w:val="00214735"/>
    <w:rsid w:val="00214DA8"/>
    <w:rsid w:val="00215145"/>
    <w:rsid w:val="00215186"/>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451"/>
    <w:rsid w:val="00230765"/>
    <w:rsid w:val="00230876"/>
    <w:rsid w:val="00230CCE"/>
    <w:rsid w:val="00231169"/>
    <w:rsid w:val="0023132B"/>
    <w:rsid w:val="002319E4"/>
    <w:rsid w:val="00231A2F"/>
    <w:rsid w:val="002323A3"/>
    <w:rsid w:val="0023274F"/>
    <w:rsid w:val="00233795"/>
    <w:rsid w:val="0023392F"/>
    <w:rsid w:val="002348C6"/>
    <w:rsid w:val="00234B17"/>
    <w:rsid w:val="00234B46"/>
    <w:rsid w:val="00234EA0"/>
    <w:rsid w:val="002354A6"/>
    <w:rsid w:val="00235630"/>
    <w:rsid w:val="00235632"/>
    <w:rsid w:val="0023563F"/>
    <w:rsid w:val="00235872"/>
    <w:rsid w:val="00235ADF"/>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47CAB"/>
    <w:rsid w:val="002500C8"/>
    <w:rsid w:val="002501E7"/>
    <w:rsid w:val="002505AC"/>
    <w:rsid w:val="0025084B"/>
    <w:rsid w:val="002509FE"/>
    <w:rsid w:val="00250A85"/>
    <w:rsid w:val="00250AA4"/>
    <w:rsid w:val="00250D7E"/>
    <w:rsid w:val="002518AF"/>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661"/>
    <w:rsid w:val="002577DB"/>
    <w:rsid w:val="00257E05"/>
    <w:rsid w:val="00260376"/>
    <w:rsid w:val="002604B3"/>
    <w:rsid w:val="0026080A"/>
    <w:rsid w:val="00260914"/>
    <w:rsid w:val="00260C09"/>
    <w:rsid w:val="00260EAD"/>
    <w:rsid w:val="0026151F"/>
    <w:rsid w:val="00261537"/>
    <w:rsid w:val="00261578"/>
    <w:rsid w:val="002617E7"/>
    <w:rsid w:val="002622FE"/>
    <w:rsid w:val="002624F9"/>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214"/>
    <w:rsid w:val="0026628C"/>
    <w:rsid w:val="002662E3"/>
    <w:rsid w:val="002669F6"/>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5E0"/>
    <w:rsid w:val="00276925"/>
    <w:rsid w:val="002769CC"/>
    <w:rsid w:val="00276A50"/>
    <w:rsid w:val="00276C77"/>
    <w:rsid w:val="00277093"/>
    <w:rsid w:val="00277266"/>
    <w:rsid w:val="00277894"/>
    <w:rsid w:val="00277D17"/>
    <w:rsid w:val="002805F5"/>
    <w:rsid w:val="00280751"/>
    <w:rsid w:val="00280B51"/>
    <w:rsid w:val="00280C69"/>
    <w:rsid w:val="00281013"/>
    <w:rsid w:val="0028139E"/>
    <w:rsid w:val="00281507"/>
    <w:rsid w:val="002815A6"/>
    <w:rsid w:val="00281B14"/>
    <w:rsid w:val="00281CE1"/>
    <w:rsid w:val="00281D53"/>
    <w:rsid w:val="00282034"/>
    <w:rsid w:val="002827F7"/>
    <w:rsid w:val="0028280A"/>
    <w:rsid w:val="00282A9F"/>
    <w:rsid w:val="00283362"/>
    <w:rsid w:val="00283A5D"/>
    <w:rsid w:val="00283C1F"/>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3BC"/>
    <w:rsid w:val="00292C22"/>
    <w:rsid w:val="00292C3F"/>
    <w:rsid w:val="00292CDB"/>
    <w:rsid w:val="00292EB7"/>
    <w:rsid w:val="002933A6"/>
    <w:rsid w:val="0029370A"/>
    <w:rsid w:val="0029582D"/>
    <w:rsid w:val="002961C7"/>
    <w:rsid w:val="00296227"/>
    <w:rsid w:val="00296246"/>
    <w:rsid w:val="0029649F"/>
    <w:rsid w:val="002967D4"/>
    <w:rsid w:val="00296F44"/>
    <w:rsid w:val="00296FD6"/>
    <w:rsid w:val="002973AC"/>
    <w:rsid w:val="0029777D"/>
    <w:rsid w:val="00297EBA"/>
    <w:rsid w:val="002A055E"/>
    <w:rsid w:val="002A0576"/>
    <w:rsid w:val="002A0D5F"/>
    <w:rsid w:val="002A149D"/>
    <w:rsid w:val="002A169E"/>
    <w:rsid w:val="002A16D3"/>
    <w:rsid w:val="002A1887"/>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06A"/>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3C3"/>
    <w:rsid w:val="002C244F"/>
    <w:rsid w:val="002C257A"/>
    <w:rsid w:val="002C2680"/>
    <w:rsid w:val="002C2C13"/>
    <w:rsid w:val="002C3672"/>
    <w:rsid w:val="002C3938"/>
    <w:rsid w:val="002C3B72"/>
    <w:rsid w:val="002C4129"/>
    <w:rsid w:val="002C41E6"/>
    <w:rsid w:val="002C447B"/>
    <w:rsid w:val="002C542E"/>
    <w:rsid w:val="002C5A2C"/>
    <w:rsid w:val="002C5AE2"/>
    <w:rsid w:val="002C5E78"/>
    <w:rsid w:val="002C60F4"/>
    <w:rsid w:val="002C614D"/>
    <w:rsid w:val="002C633B"/>
    <w:rsid w:val="002C645A"/>
    <w:rsid w:val="002C7445"/>
    <w:rsid w:val="002C75CA"/>
    <w:rsid w:val="002C7783"/>
    <w:rsid w:val="002C7978"/>
    <w:rsid w:val="002D071A"/>
    <w:rsid w:val="002D0D41"/>
    <w:rsid w:val="002D115A"/>
    <w:rsid w:val="002D1686"/>
    <w:rsid w:val="002D2D57"/>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AF6"/>
    <w:rsid w:val="002D6D9D"/>
    <w:rsid w:val="002D6E38"/>
    <w:rsid w:val="002D6F34"/>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4FA2"/>
    <w:rsid w:val="002E5122"/>
    <w:rsid w:val="002E53D3"/>
    <w:rsid w:val="002E559C"/>
    <w:rsid w:val="002E5712"/>
    <w:rsid w:val="002E5E29"/>
    <w:rsid w:val="002E605C"/>
    <w:rsid w:val="002E6557"/>
    <w:rsid w:val="002E6727"/>
    <w:rsid w:val="002E705A"/>
    <w:rsid w:val="002E728C"/>
    <w:rsid w:val="002E73FF"/>
    <w:rsid w:val="002E77A2"/>
    <w:rsid w:val="002E7CAE"/>
    <w:rsid w:val="002E7CB2"/>
    <w:rsid w:val="002F04D5"/>
    <w:rsid w:val="002F0BDA"/>
    <w:rsid w:val="002F1842"/>
    <w:rsid w:val="002F1B0B"/>
    <w:rsid w:val="002F1B99"/>
    <w:rsid w:val="002F1C10"/>
    <w:rsid w:val="002F1C36"/>
    <w:rsid w:val="002F22A1"/>
    <w:rsid w:val="002F24B2"/>
    <w:rsid w:val="002F2771"/>
    <w:rsid w:val="002F27FA"/>
    <w:rsid w:val="002F2897"/>
    <w:rsid w:val="002F318D"/>
    <w:rsid w:val="002F37A9"/>
    <w:rsid w:val="002F39FA"/>
    <w:rsid w:val="002F3BB0"/>
    <w:rsid w:val="002F3DD2"/>
    <w:rsid w:val="002F43C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506"/>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41C5"/>
    <w:rsid w:val="003242A5"/>
    <w:rsid w:val="00324493"/>
    <w:rsid w:val="0032453A"/>
    <w:rsid w:val="00324566"/>
    <w:rsid w:val="00324D23"/>
    <w:rsid w:val="00325304"/>
    <w:rsid w:val="003253F2"/>
    <w:rsid w:val="003254BB"/>
    <w:rsid w:val="00325E62"/>
    <w:rsid w:val="00325FAC"/>
    <w:rsid w:val="00326312"/>
    <w:rsid w:val="003263A3"/>
    <w:rsid w:val="00326708"/>
    <w:rsid w:val="00326C2E"/>
    <w:rsid w:val="00326E87"/>
    <w:rsid w:val="00327016"/>
    <w:rsid w:val="003274C1"/>
    <w:rsid w:val="00327756"/>
    <w:rsid w:val="0032780C"/>
    <w:rsid w:val="003278E3"/>
    <w:rsid w:val="00327DC8"/>
    <w:rsid w:val="00330B2A"/>
    <w:rsid w:val="00331751"/>
    <w:rsid w:val="003318F1"/>
    <w:rsid w:val="00331D40"/>
    <w:rsid w:val="00331EDC"/>
    <w:rsid w:val="00331EF6"/>
    <w:rsid w:val="00331FD3"/>
    <w:rsid w:val="0033200A"/>
    <w:rsid w:val="0033231E"/>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143"/>
    <w:rsid w:val="00336BDA"/>
    <w:rsid w:val="00336C7B"/>
    <w:rsid w:val="00336C9C"/>
    <w:rsid w:val="00336F05"/>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9FF"/>
    <w:rsid w:val="00343A4E"/>
    <w:rsid w:val="00343B03"/>
    <w:rsid w:val="00343BE9"/>
    <w:rsid w:val="00343DEB"/>
    <w:rsid w:val="00344030"/>
    <w:rsid w:val="003442B7"/>
    <w:rsid w:val="003443F5"/>
    <w:rsid w:val="00344D0E"/>
    <w:rsid w:val="00345256"/>
    <w:rsid w:val="003459ED"/>
    <w:rsid w:val="00345B08"/>
    <w:rsid w:val="00345E6B"/>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210"/>
    <w:rsid w:val="00355896"/>
    <w:rsid w:val="0035598B"/>
    <w:rsid w:val="00355A0E"/>
    <w:rsid w:val="00355B1A"/>
    <w:rsid w:val="00356268"/>
    <w:rsid w:val="003566DE"/>
    <w:rsid w:val="00356803"/>
    <w:rsid w:val="003569A8"/>
    <w:rsid w:val="00356E4C"/>
    <w:rsid w:val="00356F8B"/>
    <w:rsid w:val="00356FBF"/>
    <w:rsid w:val="00357003"/>
    <w:rsid w:val="0035707A"/>
    <w:rsid w:val="00357380"/>
    <w:rsid w:val="003575C6"/>
    <w:rsid w:val="00357D2F"/>
    <w:rsid w:val="0036000F"/>
    <w:rsid w:val="003601FB"/>
    <w:rsid w:val="00360260"/>
    <w:rsid w:val="003602D9"/>
    <w:rsid w:val="003604CE"/>
    <w:rsid w:val="003606FC"/>
    <w:rsid w:val="003614B9"/>
    <w:rsid w:val="003619A1"/>
    <w:rsid w:val="00361B0E"/>
    <w:rsid w:val="00361B12"/>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16C"/>
    <w:rsid w:val="00373622"/>
    <w:rsid w:val="00373A15"/>
    <w:rsid w:val="00373A25"/>
    <w:rsid w:val="00373BFF"/>
    <w:rsid w:val="00373C02"/>
    <w:rsid w:val="003742AC"/>
    <w:rsid w:val="00374A98"/>
    <w:rsid w:val="00374B4B"/>
    <w:rsid w:val="00375178"/>
    <w:rsid w:val="00375714"/>
    <w:rsid w:val="0037578D"/>
    <w:rsid w:val="003765DF"/>
    <w:rsid w:val="00376C1F"/>
    <w:rsid w:val="00376C50"/>
    <w:rsid w:val="00377440"/>
    <w:rsid w:val="003774E2"/>
    <w:rsid w:val="003779E9"/>
    <w:rsid w:val="00377A36"/>
    <w:rsid w:val="00377CE1"/>
    <w:rsid w:val="00377DD9"/>
    <w:rsid w:val="00377E7F"/>
    <w:rsid w:val="0038006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3E06"/>
    <w:rsid w:val="003841BB"/>
    <w:rsid w:val="003842F5"/>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B87"/>
    <w:rsid w:val="00396CD6"/>
    <w:rsid w:val="00397435"/>
    <w:rsid w:val="003A00CE"/>
    <w:rsid w:val="003A0284"/>
    <w:rsid w:val="003A04CD"/>
    <w:rsid w:val="003A0906"/>
    <w:rsid w:val="003A112C"/>
    <w:rsid w:val="003A1533"/>
    <w:rsid w:val="003A1D41"/>
    <w:rsid w:val="003A2223"/>
    <w:rsid w:val="003A273C"/>
    <w:rsid w:val="003A2A0F"/>
    <w:rsid w:val="003A3239"/>
    <w:rsid w:val="003A3376"/>
    <w:rsid w:val="003A41E6"/>
    <w:rsid w:val="003A4230"/>
    <w:rsid w:val="003A4491"/>
    <w:rsid w:val="003A45A1"/>
    <w:rsid w:val="003A4A91"/>
    <w:rsid w:val="003A4CEF"/>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699"/>
    <w:rsid w:val="003B0B79"/>
    <w:rsid w:val="003B0C06"/>
    <w:rsid w:val="003B0E7F"/>
    <w:rsid w:val="003B1004"/>
    <w:rsid w:val="003B159C"/>
    <w:rsid w:val="003B174E"/>
    <w:rsid w:val="003B1D13"/>
    <w:rsid w:val="003B1DF7"/>
    <w:rsid w:val="003B1F86"/>
    <w:rsid w:val="003B2B79"/>
    <w:rsid w:val="003B2B8E"/>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45B"/>
    <w:rsid w:val="003C1960"/>
    <w:rsid w:val="003C2057"/>
    <w:rsid w:val="003C24D4"/>
    <w:rsid w:val="003C2604"/>
    <w:rsid w:val="003C2702"/>
    <w:rsid w:val="003C2D9F"/>
    <w:rsid w:val="003C31D6"/>
    <w:rsid w:val="003C34C9"/>
    <w:rsid w:val="003C3532"/>
    <w:rsid w:val="003C45E3"/>
    <w:rsid w:val="003C465F"/>
    <w:rsid w:val="003C5207"/>
    <w:rsid w:val="003C52FC"/>
    <w:rsid w:val="003C5674"/>
    <w:rsid w:val="003C6416"/>
    <w:rsid w:val="003C645F"/>
    <w:rsid w:val="003C69BB"/>
    <w:rsid w:val="003C6F75"/>
    <w:rsid w:val="003C7007"/>
    <w:rsid w:val="003C710A"/>
    <w:rsid w:val="003C7468"/>
    <w:rsid w:val="003C75F9"/>
    <w:rsid w:val="003C7806"/>
    <w:rsid w:val="003C78A4"/>
    <w:rsid w:val="003C78FE"/>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AC"/>
    <w:rsid w:val="003D24C6"/>
    <w:rsid w:val="003D29D9"/>
    <w:rsid w:val="003D2A61"/>
    <w:rsid w:val="003D2A72"/>
    <w:rsid w:val="003D2ABC"/>
    <w:rsid w:val="003D32BF"/>
    <w:rsid w:val="003D3453"/>
    <w:rsid w:val="003D3492"/>
    <w:rsid w:val="003D3C45"/>
    <w:rsid w:val="003D4D62"/>
    <w:rsid w:val="003D55AB"/>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39BA"/>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C3D"/>
    <w:rsid w:val="003F1CCE"/>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25F8"/>
    <w:rsid w:val="00402660"/>
    <w:rsid w:val="0040289D"/>
    <w:rsid w:val="00402D26"/>
    <w:rsid w:val="00402E2B"/>
    <w:rsid w:val="00402E4B"/>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3DE"/>
    <w:rsid w:val="0041263E"/>
    <w:rsid w:val="00412E65"/>
    <w:rsid w:val="004131F9"/>
    <w:rsid w:val="00413836"/>
    <w:rsid w:val="00413906"/>
    <w:rsid w:val="00413AAC"/>
    <w:rsid w:val="00413B6B"/>
    <w:rsid w:val="00413D60"/>
    <w:rsid w:val="00414331"/>
    <w:rsid w:val="0041495D"/>
    <w:rsid w:val="00414F57"/>
    <w:rsid w:val="00415724"/>
    <w:rsid w:val="004157C2"/>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09B"/>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4C"/>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ACD"/>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A33"/>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4E9"/>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AA9"/>
    <w:rsid w:val="00462BB1"/>
    <w:rsid w:val="0046329C"/>
    <w:rsid w:val="0046356A"/>
    <w:rsid w:val="00463A78"/>
    <w:rsid w:val="004650CC"/>
    <w:rsid w:val="0046511E"/>
    <w:rsid w:val="00465B2E"/>
    <w:rsid w:val="00465F3C"/>
    <w:rsid w:val="004669E2"/>
    <w:rsid w:val="004669FE"/>
    <w:rsid w:val="00466AC1"/>
    <w:rsid w:val="00466B6D"/>
    <w:rsid w:val="00466CC6"/>
    <w:rsid w:val="0046704D"/>
    <w:rsid w:val="004671E7"/>
    <w:rsid w:val="00467FFB"/>
    <w:rsid w:val="0047005D"/>
    <w:rsid w:val="004701C7"/>
    <w:rsid w:val="00470C31"/>
    <w:rsid w:val="0047134D"/>
    <w:rsid w:val="00471DF1"/>
    <w:rsid w:val="004722A1"/>
    <w:rsid w:val="0047230D"/>
    <w:rsid w:val="00472465"/>
    <w:rsid w:val="0047262F"/>
    <w:rsid w:val="00472999"/>
    <w:rsid w:val="0047334A"/>
    <w:rsid w:val="0047349A"/>
    <w:rsid w:val="004734D0"/>
    <w:rsid w:val="00473B63"/>
    <w:rsid w:val="00473E90"/>
    <w:rsid w:val="00474771"/>
    <w:rsid w:val="00474CFE"/>
    <w:rsid w:val="0047544D"/>
    <w:rsid w:val="0047556B"/>
    <w:rsid w:val="004758F8"/>
    <w:rsid w:val="00475A36"/>
    <w:rsid w:val="0047619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4A4"/>
    <w:rsid w:val="0048657C"/>
    <w:rsid w:val="00486D0C"/>
    <w:rsid w:val="0048722F"/>
    <w:rsid w:val="00487464"/>
    <w:rsid w:val="00487D9E"/>
    <w:rsid w:val="00490781"/>
    <w:rsid w:val="00490DAD"/>
    <w:rsid w:val="00490FD4"/>
    <w:rsid w:val="00491C77"/>
    <w:rsid w:val="00491EB7"/>
    <w:rsid w:val="0049218E"/>
    <w:rsid w:val="004922EF"/>
    <w:rsid w:val="004929BE"/>
    <w:rsid w:val="00492BC5"/>
    <w:rsid w:val="00492D49"/>
    <w:rsid w:val="00492D84"/>
    <w:rsid w:val="004931D8"/>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399"/>
    <w:rsid w:val="004A259B"/>
    <w:rsid w:val="004A275A"/>
    <w:rsid w:val="004A2A9D"/>
    <w:rsid w:val="004A2B94"/>
    <w:rsid w:val="004A3603"/>
    <w:rsid w:val="004A3721"/>
    <w:rsid w:val="004A3A0F"/>
    <w:rsid w:val="004A43AE"/>
    <w:rsid w:val="004A46DD"/>
    <w:rsid w:val="004A4E57"/>
    <w:rsid w:val="004A518E"/>
    <w:rsid w:val="004A5854"/>
    <w:rsid w:val="004A5BB1"/>
    <w:rsid w:val="004A5E66"/>
    <w:rsid w:val="004A5F5E"/>
    <w:rsid w:val="004A6016"/>
    <w:rsid w:val="004A6120"/>
    <w:rsid w:val="004A6A8B"/>
    <w:rsid w:val="004A6B25"/>
    <w:rsid w:val="004A737C"/>
    <w:rsid w:val="004A76D5"/>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19C5"/>
    <w:rsid w:val="004B20C2"/>
    <w:rsid w:val="004B2681"/>
    <w:rsid w:val="004B2C5D"/>
    <w:rsid w:val="004B2CE5"/>
    <w:rsid w:val="004B3B42"/>
    <w:rsid w:val="004B3CF0"/>
    <w:rsid w:val="004B3D1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3AC"/>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5A"/>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A51"/>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BDF"/>
    <w:rsid w:val="004E4C6E"/>
    <w:rsid w:val="004E4FA9"/>
    <w:rsid w:val="004E56DC"/>
    <w:rsid w:val="004E57AD"/>
    <w:rsid w:val="004E62DD"/>
    <w:rsid w:val="004E6462"/>
    <w:rsid w:val="004E64C0"/>
    <w:rsid w:val="004E74E9"/>
    <w:rsid w:val="004E76F4"/>
    <w:rsid w:val="004E77DD"/>
    <w:rsid w:val="004E7A69"/>
    <w:rsid w:val="004F09FF"/>
    <w:rsid w:val="004F0B4E"/>
    <w:rsid w:val="004F0B6C"/>
    <w:rsid w:val="004F0F5C"/>
    <w:rsid w:val="004F10ED"/>
    <w:rsid w:val="004F12E3"/>
    <w:rsid w:val="004F189C"/>
    <w:rsid w:val="004F19FA"/>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B32"/>
    <w:rsid w:val="00512D15"/>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17761"/>
    <w:rsid w:val="005200AA"/>
    <w:rsid w:val="00520354"/>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4A6"/>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4ED7"/>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295"/>
    <w:rsid w:val="005524E2"/>
    <w:rsid w:val="00552829"/>
    <w:rsid w:val="00552B90"/>
    <w:rsid w:val="005532C7"/>
    <w:rsid w:val="00553352"/>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95D"/>
    <w:rsid w:val="00566BD3"/>
    <w:rsid w:val="00567332"/>
    <w:rsid w:val="005677F3"/>
    <w:rsid w:val="00567A5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2D2"/>
    <w:rsid w:val="0057565C"/>
    <w:rsid w:val="00575AA3"/>
    <w:rsid w:val="00575CCD"/>
    <w:rsid w:val="00575EF0"/>
    <w:rsid w:val="00576B24"/>
    <w:rsid w:val="00576DE1"/>
    <w:rsid w:val="00577413"/>
    <w:rsid w:val="00577D45"/>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8AF"/>
    <w:rsid w:val="00586B75"/>
    <w:rsid w:val="0058724F"/>
    <w:rsid w:val="0058734E"/>
    <w:rsid w:val="0058798C"/>
    <w:rsid w:val="00587CCE"/>
    <w:rsid w:val="005900FA"/>
    <w:rsid w:val="00590592"/>
    <w:rsid w:val="00590E23"/>
    <w:rsid w:val="00590FA5"/>
    <w:rsid w:val="005910EB"/>
    <w:rsid w:val="005911EA"/>
    <w:rsid w:val="00591534"/>
    <w:rsid w:val="00591CBF"/>
    <w:rsid w:val="00592DE5"/>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57FF"/>
    <w:rsid w:val="005A662D"/>
    <w:rsid w:val="005A68A0"/>
    <w:rsid w:val="005A6BC2"/>
    <w:rsid w:val="005A6DCC"/>
    <w:rsid w:val="005A6DD5"/>
    <w:rsid w:val="005A6EBB"/>
    <w:rsid w:val="005B0638"/>
    <w:rsid w:val="005B0D0E"/>
    <w:rsid w:val="005B0FDD"/>
    <w:rsid w:val="005B1142"/>
    <w:rsid w:val="005B145B"/>
    <w:rsid w:val="005B18D6"/>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DD3"/>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2931"/>
    <w:rsid w:val="005D2A69"/>
    <w:rsid w:val="005D341C"/>
    <w:rsid w:val="005D3628"/>
    <w:rsid w:val="005D3E8F"/>
    <w:rsid w:val="005D4031"/>
    <w:rsid w:val="005D42A2"/>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1FF6"/>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2C0"/>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AD"/>
    <w:rsid w:val="006129B4"/>
    <w:rsid w:val="00613257"/>
    <w:rsid w:val="00613382"/>
    <w:rsid w:val="00613748"/>
    <w:rsid w:val="006140D6"/>
    <w:rsid w:val="0061416C"/>
    <w:rsid w:val="0061434D"/>
    <w:rsid w:val="006148DD"/>
    <w:rsid w:val="00614B4D"/>
    <w:rsid w:val="00614FA2"/>
    <w:rsid w:val="006151A4"/>
    <w:rsid w:val="00615B56"/>
    <w:rsid w:val="00615FA3"/>
    <w:rsid w:val="00616101"/>
    <w:rsid w:val="00616757"/>
    <w:rsid w:val="006167FF"/>
    <w:rsid w:val="00616E09"/>
    <w:rsid w:val="00617A53"/>
    <w:rsid w:val="00620172"/>
    <w:rsid w:val="006203F7"/>
    <w:rsid w:val="006205EF"/>
    <w:rsid w:val="006207C1"/>
    <w:rsid w:val="00620985"/>
    <w:rsid w:val="00620A03"/>
    <w:rsid w:val="00620A71"/>
    <w:rsid w:val="00620CB7"/>
    <w:rsid w:val="00620D80"/>
    <w:rsid w:val="00620EF7"/>
    <w:rsid w:val="006212CE"/>
    <w:rsid w:val="00621517"/>
    <w:rsid w:val="006216F1"/>
    <w:rsid w:val="0062180B"/>
    <w:rsid w:val="006219DF"/>
    <w:rsid w:val="00621F8B"/>
    <w:rsid w:val="00622283"/>
    <w:rsid w:val="00622675"/>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95F"/>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AD4"/>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C72"/>
    <w:rsid w:val="00654D3D"/>
    <w:rsid w:val="00654F62"/>
    <w:rsid w:val="00655149"/>
    <w:rsid w:val="00655448"/>
    <w:rsid w:val="00655733"/>
    <w:rsid w:val="006557B9"/>
    <w:rsid w:val="00655838"/>
    <w:rsid w:val="00655ACD"/>
    <w:rsid w:val="00655D4B"/>
    <w:rsid w:val="00655D59"/>
    <w:rsid w:val="006560F8"/>
    <w:rsid w:val="006569C5"/>
    <w:rsid w:val="00656A92"/>
    <w:rsid w:val="00656DDE"/>
    <w:rsid w:val="00657509"/>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646A"/>
    <w:rsid w:val="00667EE7"/>
    <w:rsid w:val="00667F1E"/>
    <w:rsid w:val="0067030E"/>
    <w:rsid w:val="00670922"/>
    <w:rsid w:val="00670AB3"/>
    <w:rsid w:val="00670B0C"/>
    <w:rsid w:val="00670B7B"/>
    <w:rsid w:val="00670BE1"/>
    <w:rsid w:val="006712CA"/>
    <w:rsid w:val="0067192F"/>
    <w:rsid w:val="00671E79"/>
    <w:rsid w:val="0067218F"/>
    <w:rsid w:val="006721EE"/>
    <w:rsid w:val="0067278F"/>
    <w:rsid w:val="00672B0D"/>
    <w:rsid w:val="006734DB"/>
    <w:rsid w:val="006740A9"/>
    <w:rsid w:val="006741F2"/>
    <w:rsid w:val="0067427F"/>
    <w:rsid w:val="00674CC3"/>
    <w:rsid w:val="00674DB7"/>
    <w:rsid w:val="00674FEB"/>
    <w:rsid w:val="006758EB"/>
    <w:rsid w:val="0067596F"/>
    <w:rsid w:val="00675C72"/>
    <w:rsid w:val="00675DBC"/>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410"/>
    <w:rsid w:val="00683629"/>
    <w:rsid w:val="00683B98"/>
    <w:rsid w:val="00683ECE"/>
    <w:rsid w:val="00684DEE"/>
    <w:rsid w:val="00684E0B"/>
    <w:rsid w:val="006851E8"/>
    <w:rsid w:val="00685DA1"/>
    <w:rsid w:val="00686164"/>
    <w:rsid w:val="00686261"/>
    <w:rsid w:val="00686715"/>
    <w:rsid w:val="00686DE3"/>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0AD"/>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322"/>
    <w:rsid w:val="006B5C30"/>
    <w:rsid w:val="006B6171"/>
    <w:rsid w:val="006B7D58"/>
    <w:rsid w:val="006B7D96"/>
    <w:rsid w:val="006C0025"/>
    <w:rsid w:val="006C00E7"/>
    <w:rsid w:val="006C01B2"/>
    <w:rsid w:val="006C03B8"/>
    <w:rsid w:val="006C0509"/>
    <w:rsid w:val="006C0A7B"/>
    <w:rsid w:val="006C0D50"/>
    <w:rsid w:val="006C0D89"/>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0A"/>
    <w:rsid w:val="006D1F89"/>
    <w:rsid w:val="006D20DE"/>
    <w:rsid w:val="006D2F02"/>
    <w:rsid w:val="006D340B"/>
    <w:rsid w:val="006D39FB"/>
    <w:rsid w:val="006D3E9B"/>
    <w:rsid w:val="006D4362"/>
    <w:rsid w:val="006D43C2"/>
    <w:rsid w:val="006D454C"/>
    <w:rsid w:val="006D460C"/>
    <w:rsid w:val="006D4643"/>
    <w:rsid w:val="006D46C0"/>
    <w:rsid w:val="006D48D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063B"/>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BEC"/>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320"/>
    <w:rsid w:val="00727424"/>
    <w:rsid w:val="00727680"/>
    <w:rsid w:val="00727DD6"/>
    <w:rsid w:val="00727ED6"/>
    <w:rsid w:val="00727F4F"/>
    <w:rsid w:val="00730377"/>
    <w:rsid w:val="007303F9"/>
    <w:rsid w:val="00730B59"/>
    <w:rsid w:val="00730D00"/>
    <w:rsid w:val="00730E0D"/>
    <w:rsid w:val="0073190C"/>
    <w:rsid w:val="00731BA5"/>
    <w:rsid w:val="00732401"/>
    <w:rsid w:val="007324AF"/>
    <w:rsid w:val="00732821"/>
    <w:rsid w:val="0073291C"/>
    <w:rsid w:val="0073318C"/>
    <w:rsid w:val="007332FC"/>
    <w:rsid w:val="00733A9F"/>
    <w:rsid w:val="00733CA5"/>
    <w:rsid w:val="00733DE0"/>
    <w:rsid w:val="00733E10"/>
    <w:rsid w:val="0073417A"/>
    <w:rsid w:val="007346D0"/>
    <w:rsid w:val="007348B1"/>
    <w:rsid w:val="00734924"/>
    <w:rsid w:val="007350FB"/>
    <w:rsid w:val="00735AA4"/>
    <w:rsid w:val="00735AAE"/>
    <w:rsid w:val="00735B93"/>
    <w:rsid w:val="00735E68"/>
    <w:rsid w:val="007362A6"/>
    <w:rsid w:val="00736579"/>
    <w:rsid w:val="0073680D"/>
    <w:rsid w:val="00736970"/>
    <w:rsid w:val="00736D7D"/>
    <w:rsid w:val="00736D91"/>
    <w:rsid w:val="007375CD"/>
    <w:rsid w:val="00737BBD"/>
    <w:rsid w:val="00740A1E"/>
    <w:rsid w:val="00740D49"/>
    <w:rsid w:val="00740E58"/>
    <w:rsid w:val="00741404"/>
    <w:rsid w:val="007415BB"/>
    <w:rsid w:val="0074220C"/>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6DB"/>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4E6"/>
    <w:rsid w:val="00751C4D"/>
    <w:rsid w:val="00751C91"/>
    <w:rsid w:val="00751DB7"/>
    <w:rsid w:val="00752194"/>
    <w:rsid w:val="00752661"/>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0E1"/>
    <w:rsid w:val="007775F9"/>
    <w:rsid w:val="00777A49"/>
    <w:rsid w:val="00777D91"/>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702"/>
    <w:rsid w:val="00786A87"/>
    <w:rsid w:val="00786AF7"/>
    <w:rsid w:val="00786C32"/>
    <w:rsid w:val="00786EE4"/>
    <w:rsid w:val="0078710B"/>
    <w:rsid w:val="00787324"/>
    <w:rsid w:val="0078738A"/>
    <w:rsid w:val="0078789A"/>
    <w:rsid w:val="007878D6"/>
    <w:rsid w:val="00790BAC"/>
    <w:rsid w:val="007910D8"/>
    <w:rsid w:val="007912A9"/>
    <w:rsid w:val="00791411"/>
    <w:rsid w:val="00791847"/>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70C"/>
    <w:rsid w:val="00795C92"/>
    <w:rsid w:val="00796231"/>
    <w:rsid w:val="00796E9F"/>
    <w:rsid w:val="00796F04"/>
    <w:rsid w:val="00796F81"/>
    <w:rsid w:val="0079717F"/>
    <w:rsid w:val="00797341"/>
    <w:rsid w:val="00797AAE"/>
    <w:rsid w:val="00797BC1"/>
    <w:rsid w:val="00797CFF"/>
    <w:rsid w:val="007A0933"/>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6E4"/>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063"/>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2837"/>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D7F7C"/>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3F1"/>
    <w:rsid w:val="007E7485"/>
    <w:rsid w:val="007E7DF6"/>
    <w:rsid w:val="007E7E4B"/>
    <w:rsid w:val="007E7FE0"/>
    <w:rsid w:val="007E7FFC"/>
    <w:rsid w:val="007F0064"/>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4B53"/>
    <w:rsid w:val="0080530A"/>
    <w:rsid w:val="00805511"/>
    <w:rsid w:val="008055F0"/>
    <w:rsid w:val="008057A0"/>
    <w:rsid w:val="00805C4D"/>
    <w:rsid w:val="00805CC8"/>
    <w:rsid w:val="0080605F"/>
    <w:rsid w:val="0080649E"/>
    <w:rsid w:val="00806659"/>
    <w:rsid w:val="00806A15"/>
    <w:rsid w:val="00806B45"/>
    <w:rsid w:val="00806C7F"/>
    <w:rsid w:val="00806FE7"/>
    <w:rsid w:val="0080708C"/>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728"/>
    <w:rsid w:val="00817D6A"/>
    <w:rsid w:val="00820010"/>
    <w:rsid w:val="00820386"/>
    <w:rsid w:val="008204E8"/>
    <w:rsid w:val="0082080A"/>
    <w:rsid w:val="00820CBD"/>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6EE2"/>
    <w:rsid w:val="008376AC"/>
    <w:rsid w:val="00837FC8"/>
    <w:rsid w:val="0084028A"/>
    <w:rsid w:val="00840507"/>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528"/>
    <w:rsid w:val="00853922"/>
    <w:rsid w:val="00853DAC"/>
    <w:rsid w:val="008543FA"/>
    <w:rsid w:val="008544F2"/>
    <w:rsid w:val="00854B50"/>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175"/>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4EC5"/>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C3C"/>
    <w:rsid w:val="00881FE5"/>
    <w:rsid w:val="0088201E"/>
    <w:rsid w:val="00882299"/>
    <w:rsid w:val="00882709"/>
    <w:rsid w:val="00882D65"/>
    <w:rsid w:val="00882E5B"/>
    <w:rsid w:val="00882FA5"/>
    <w:rsid w:val="008830D7"/>
    <w:rsid w:val="0088330C"/>
    <w:rsid w:val="00884491"/>
    <w:rsid w:val="00885B61"/>
    <w:rsid w:val="00885E35"/>
    <w:rsid w:val="008863D2"/>
    <w:rsid w:val="008865DA"/>
    <w:rsid w:val="0088743E"/>
    <w:rsid w:val="0089024D"/>
    <w:rsid w:val="008907E0"/>
    <w:rsid w:val="00890D76"/>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509"/>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1D9"/>
    <w:rsid w:val="008A44B8"/>
    <w:rsid w:val="008A473F"/>
    <w:rsid w:val="008A4A3A"/>
    <w:rsid w:val="008A4C8E"/>
    <w:rsid w:val="008A4F2A"/>
    <w:rsid w:val="008A51A8"/>
    <w:rsid w:val="008A54A8"/>
    <w:rsid w:val="008A54C7"/>
    <w:rsid w:val="008A5943"/>
    <w:rsid w:val="008A5E8E"/>
    <w:rsid w:val="008A6040"/>
    <w:rsid w:val="008A6271"/>
    <w:rsid w:val="008A6742"/>
    <w:rsid w:val="008A67B1"/>
    <w:rsid w:val="008A69FD"/>
    <w:rsid w:val="008A6ED8"/>
    <w:rsid w:val="008A701E"/>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622"/>
    <w:rsid w:val="008C464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891"/>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3F4"/>
    <w:rsid w:val="008D748E"/>
    <w:rsid w:val="008D78A8"/>
    <w:rsid w:val="008D7C4F"/>
    <w:rsid w:val="008D7D4C"/>
    <w:rsid w:val="008E03A9"/>
    <w:rsid w:val="008E04AA"/>
    <w:rsid w:val="008E0624"/>
    <w:rsid w:val="008E065E"/>
    <w:rsid w:val="008E0927"/>
    <w:rsid w:val="008E1163"/>
    <w:rsid w:val="008E11CA"/>
    <w:rsid w:val="008E11D3"/>
    <w:rsid w:val="008E1508"/>
    <w:rsid w:val="008E1909"/>
    <w:rsid w:val="008E1DDB"/>
    <w:rsid w:val="008E1EA2"/>
    <w:rsid w:val="008E221B"/>
    <w:rsid w:val="008E2355"/>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823"/>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9FA"/>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40C"/>
    <w:rsid w:val="0092767E"/>
    <w:rsid w:val="0093068D"/>
    <w:rsid w:val="00930A21"/>
    <w:rsid w:val="00930E6E"/>
    <w:rsid w:val="009317FD"/>
    <w:rsid w:val="00931BD9"/>
    <w:rsid w:val="009320C1"/>
    <w:rsid w:val="00932DB4"/>
    <w:rsid w:val="00933227"/>
    <w:rsid w:val="00933711"/>
    <w:rsid w:val="00933853"/>
    <w:rsid w:val="009340DD"/>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6C42"/>
    <w:rsid w:val="009371D5"/>
    <w:rsid w:val="0093729D"/>
    <w:rsid w:val="00937B30"/>
    <w:rsid w:val="00937B71"/>
    <w:rsid w:val="00937E2F"/>
    <w:rsid w:val="00937F06"/>
    <w:rsid w:val="00937FE4"/>
    <w:rsid w:val="00940C83"/>
    <w:rsid w:val="00941158"/>
    <w:rsid w:val="00941239"/>
    <w:rsid w:val="00941559"/>
    <w:rsid w:val="00941636"/>
    <w:rsid w:val="009425BB"/>
    <w:rsid w:val="009425EB"/>
    <w:rsid w:val="0094285E"/>
    <w:rsid w:val="009429A6"/>
    <w:rsid w:val="00942C72"/>
    <w:rsid w:val="00942D9D"/>
    <w:rsid w:val="00942EF5"/>
    <w:rsid w:val="00943742"/>
    <w:rsid w:val="00944688"/>
    <w:rsid w:val="009449A7"/>
    <w:rsid w:val="00944D23"/>
    <w:rsid w:val="0094568D"/>
    <w:rsid w:val="00945901"/>
    <w:rsid w:val="00945BF0"/>
    <w:rsid w:val="00945C05"/>
    <w:rsid w:val="0094608C"/>
    <w:rsid w:val="00946737"/>
    <w:rsid w:val="00946945"/>
    <w:rsid w:val="00946E3B"/>
    <w:rsid w:val="00947070"/>
    <w:rsid w:val="00947713"/>
    <w:rsid w:val="00947C92"/>
    <w:rsid w:val="00947F9C"/>
    <w:rsid w:val="00950024"/>
    <w:rsid w:val="009501B7"/>
    <w:rsid w:val="00950B63"/>
    <w:rsid w:val="00950CAD"/>
    <w:rsid w:val="00950DC7"/>
    <w:rsid w:val="00950DE7"/>
    <w:rsid w:val="00950E54"/>
    <w:rsid w:val="00951240"/>
    <w:rsid w:val="00951336"/>
    <w:rsid w:val="00952AA4"/>
    <w:rsid w:val="00952B0A"/>
    <w:rsid w:val="00952E08"/>
    <w:rsid w:val="00953920"/>
    <w:rsid w:val="00953AA2"/>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AC7"/>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BCC"/>
    <w:rsid w:val="0097004B"/>
    <w:rsid w:val="009701B4"/>
    <w:rsid w:val="00970580"/>
    <w:rsid w:val="009705B4"/>
    <w:rsid w:val="00970E73"/>
    <w:rsid w:val="00970F0B"/>
    <w:rsid w:val="009715C9"/>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ED"/>
    <w:rsid w:val="00981306"/>
    <w:rsid w:val="009816A1"/>
    <w:rsid w:val="009817C9"/>
    <w:rsid w:val="0098180D"/>
    <w:rsid w:val="009825CA"/>
    <w:rsid w:val="00982F12"/>
    <w:rsid w:val="00982F3D"/>
    <w:rsid w:val="00982FF9"/>
    <w:rsid w:val="009831D4"/>
    <w:rsid w:val="009833B6"/>
    <w:rsid w:val="00983502"/>
    <w:rsid w:val="0098387E"/>
    <w:rsid w:val="00983E66"/>
    <w:rsid w:val="00983F03"/>
    <w:rsid w:val="0098462A"/>
    <w:rsid w:val="00984F6B"/>
    <w:rsid w:val="00985136"/>
    <w:rsid w:val="00985191"/>
    <w:rsid w:val="00985253"/>
    <w:rsid w:val="009853B3"/>
    <w:rsid w:val="0098568D"/>
    <w:rsid w:val="00985AB4"/>
    <w:rsid w:val="0098635E"/>
    <w:rsid w:val="009865ED"/>
    <w:rsid w:val="00986BB2"/>
    <w:rsid w:val="00986C3A"/>
    <w:rsid w:val="00986E5B"/>
    <w:rsid w:val="00986FF4"/>
    <w:rsid w:val="00987705"/>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B49"/>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21"/>
    <w:rsid w:val="009B2564"/>
    <w:rsid w:val="009B26B8"/>
    <w:rsid w:val="009B2850"/>
    <w:rsid w:val="009B2AB0"/>
    <w:rsid w:val="009B2D33"/>
    <w:rsid w:val="009B32BA"/>
    <w:rsid w:val="009B3AC2"/>
    <w:rsid w:val="009B4DF4"/>
    <w:rsid w:val="009B4EE0"/>
    <w:rsid w:val="009B522F"/>
    <w:rsid w:val="009B5556"/>
    <w:rsid w:val="009B564E"/>
    <w:rsid w:val="009B5691"/>
    <w:rsid w:val="009B5C17"/>
    <w:rsid w:val="009B6885"/>
    <w:rsid w:val="009B6A21"/>
    <w:rsid w:val="009B6D6D"/>
    <w:rsid w:val="009B7221"/>
    <w:rsid w:val="009B7589"/>
    <w:rsid w:val="009B7767"/>
    <w:rsid w:val="009B7777"/>
    <w:rsid w:val="009B7B92"/>
    <w:rsid w:val="009B7E87"/>
    <w:rsid w:val="009C04E5"/>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EF3"/>
    <w:rsid w:val="009C4FA8"/>
    <w:rsid w:val="009C501E"/>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7F"/>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9BF"/>
    <w:rsid w:val="009D7A22"/>
    <w:rsid w:val="009D7B84"/>
    <w:rsid w:val="009D7B93"/>
    <w:rsid w:val="009E035B"/>
    <w:rsid w:val="009E0434"/>
    <w:rsid w:val="009E068F"/>
    <w:rsid w:val="009E0A8A"/>
    <w:rsid w:val="009E0EB5"/>
    <w:rsid w:val="009E14E0"/>
    <w:rsid w:val="009E1624"/>
    <w:rsid w:val="009E1727"/>
    <w:rsid w:val="009E24AC"/>
    <w:rsid w:val="009E2EA1"/>
    <w:rsid w:val="009E3034"/>
    <w:rsid w:val="009E35DB"/>
    <w:rsid w:val="009E37FD"/>
    <w:rsid w:val="009E3902"/>
    <w:rsid w:val="009E3EB1"/>
    <w:rsid w:val="009E4130"/>
    <w:rsid w:val="009E423B"/>
    <w:rsid w:val="009E4499"/>
    <w:rsid w:val="009E47A3"/>
    <w:rsid w:val="009E490D"/>
    <w:rsid w:val="009E49D7"/>
    <w:rsid w:val="009E4AF6"/>
    <w:rsid w:val="009E5644"/>
    <w:rsid w:val="009E5976"/>
    <w:rsid w:val="009E5C8B"/>
    <w:rsid w:val="009E5F5E"/>
    <w:rsid w:val="009E613A"/>
    <w:rsid w:val="009E64F8"/>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31"/>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C98"/>
    <w:rsid w:val="009F7F4B"/>
    <w:rsid w:val="00A00357"/>
    <w:rsid w:val="00A0058F"/>
    <w:rsid w:val="00A00C52"/>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829"/>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9F"/>
    <w:rsid w:val="00A17F63"/>
    <w:rsid w:val="00A20646"/>
    <w:rsid w:val="00A20ED2"/>
    <w:rsid w:val="00A215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4F3"/>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889"/>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134"/>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5B30"/>
    <w:rsid w:val="00A660A9"/>
    <w:rsid w:val="00A660AC"/>
    <w:rsid w:val="00A6670E"/>
    <w:rsid w:val="00A6688B"/>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338"/>
    <w:rsid w:val="00A745AE"/>
    <w:rsid w:val="00A74D5D"/>
    <w:rsid w:val="00A754B7"/>
    <w:rsid w:val="00A75662"/>
    <w:rsid w:val="00A761D4"/>
    <w:rsid w:val="00A7624B"/>
    <w:rsid w:val="00A7632A"/>
    <w:rsid w:val="00A76375"/>
    <w:rsid w:val="00A76AF2"/>
    <w:rsid w:val="00A777A6"/>
    <w:rsid w:val="00A7798B"/>
    <w:rsid w:val="00A77EC4"/>
    <w:rsid w:val="00A809A7"/>
    <w:rsid w:val="00A80FEE"/>
    <w:rsid w:val="00A812D2"/>
    <w:rsid w:val="00A814A8"/>
    <w:rsid w:val="00A819A2"/>
    <w:rsid w:val="00A81D2F"/>
    <w:rsid w:val="00A823E0"/>
    <w:rsid w:val="00A8386C"/>
    <w:rsid w:val="00A83876"/>
    <w:rsid w:val="00A838D1"/>
    <w:rsid w:val="00A8413B"/>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2C6E"/>
    <w:rsid w:val="00A9338F"/>
    <w:rsid w:val="00A93451"/>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90"/>
    <w:rsid w:val="00AA17D9"/>
    <w:rsid w:val="00AA1A0A"/>
    <w:rsid w:val="00AA1AFF"/>
    <w:rsid w:val="00AA1B06"/>
    <w:rsid w:val="00AA1ED6"/>
    <w:rsid w:val="00AA1FB9"/>
    <w:rsid w:val="00AA339D"/>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551"/>
    <w:rsid w:val="00AB27B5"/>
    <w:rsid w:val="00AB28EC"/>
    <w:rsid w:val="00AB2911"/>
    <w:rsid w:val="00AB2A8C"/>
    <w:rsid w:val="00AB2A97"/>
    <w:rsid w:val="00AB2EAD"/>
    <w:rsid w:val="00AB30C6"/>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86E"/>
    <w:rsid w:val="00AC2DF6"/>
    <w:rsid w:val="00AC2ECD"/>
    <w:rsid w:val="00AC3119"/>
    <w:rsid w:val="00AC35BF"/>
    <w:rsid w:val="00AC3CBD"/>
    <w:rsid w:val="00AC3F87"/>
    <w:rsid w:val="00AC45B3"/>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E4E"/>
    <w:rsid w:val="00AD303E"/>
    <w:rsid w:val="00AD3757"/>
    <w:rsid w:val="00AD3D36"/>
    <w:rsid w:val="00AD3F94"/>
    <w:rsid w:val="00AD417E"/>
    <w:rsid w:val="00AD4366"/>
    <w:rsid w:val="00AD44B0"/>
    <w:rsid w:val="00AD47B4"/>
    <w:rsid w:val="00AD4A5A"/>
    <w:rsid w:val="00AD4E54"/>
    <w:rsid w:val="00AD5370"/>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236"/>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D3"/>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ADD"/>
    <w:rsid w:val="00B04B12"/>
    <w:rsid w:val="00B05084"/>
    <w:rsid w:val="00B052C6"/>
    <w:rsid w:val="00B052FD"/>
    <w:rsid w:val="00B05987"/>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93A"/>
    <w:rsid w:val="00B14AF2"/>
    <w:rsid w:val="00B14D74"/>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BF6"/>
    <w:rsid w:val="00B21C48"/>
    <w:rsid w:val="00B22026"/>
    <w:rsid w:val="00B2264F"/>
    <w:rsid w:val="00B2269E"/>
    <w:rsid w:val="00B22AFC"/>
    <w:rsid w:val="00B22FC8"/>
    <w:rsid w:val="00B2344E"/>
    <w:rsid w:val="00B23703"/>
    <w:rsid w:val="00B2391E"/>
    <w:rsid w:val="00B2456B"/>
    <w:rsid w:val="00B249A7"/>
    <w:rsid w:val="00B24B13"/>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B29"/>
    <w:rsid w:val="00B27D17"/>
    <w:rsid w:val="00B27D94"/>
    <w:rsid w:val="00B27DB4"/>
    <w:rsid w:val="00B30178"/>
    <w:rsid w:val="00B30388"/>
    <w:rsid w:val="00B307B3"/>
    <w:rsid w:val="00B30929"/>
    <w:rsid w:val="00B31149"/>
    <w:rsid w:val="00B31C4A"/>
    <w:rsid w:val="00B325EC"/>
    <w:rsid w:val="00B32653"/>
    <w:rsid w:val="00B3292E"/>
    <w:rsid w:val="00B32B99"/>
    <w:rsid w:val="00B3346E"/>
    <w:rsid w:val="00B33A0A"/>
    <w:rsid w:val="00B34120"/>
    <w:rsid w:val="00B345B5"/>
    <w:rsid w:val="00B34C98"/>
    <w:rsid w:val="00B34D9F"/>
    <w:rsid w:val="00B34FD1"/>
    <w:rsid w:val="00B355E1"/>
    <w:rsid w:val="00B3592A"/>
    <w:rsid w:val="00B35CB2"/>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686"/>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1E"/>
    <w:rsid w:val="00B55BC3"/>
    <w:rsid w:val="00B56384"/>
    <w:rsid w:val="00B60697"/>
    <w:rsid w:val="00B61104"/>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087"/>
    <w:rsid w:val="00B7347C"/>
    <w:rsid w:val="00B739E7"/>
    <w:rsid w:val="00B739F6"/>
    <w:rsid w:val="00B73B5D"/>
    <w:rsid w:val="00B73D8B"/>
    <w:rsid w:val="00B73E5C"/>
    <w:rsid w:val="00B73F76"/>
    <w:rsid w:val="00B74B48"/>
    <w:rsid w:val="00B74D69"/>
    <w:rsid w:val="00B75197"/>
    <w:rsid w:val="00B751A7"/>
    <w:rsid w:val="00B752C1"/>
    <w:rsid w:val="00B752DA"/>
    <w:rsid w:val="00B755A4"/>
    <w:rsid w:val="00B75852"/>
    <w:rsid w:val="00B75C36"/>
    <w:rsid w:val="00B75CBB"/>
    <w:rsid w:val="00B76371"/>
    <w:rsid w:val="00B767CF"/>
    <w:rsid w:val="00B76DBE"/>
    <w:rsid w:val="00B7727B"/>
    <w:rsid w:val="00B77584"/>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688"/>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593"/>
    <w:rsid w:val="00BA3712"/>
    <w:rsid w:val="00BA45F9"/>
    <w:rsid w:val="00BA465D"/>
    <w:rsid w:val="00BA508C"/>
    <w:rsid w:val="00BA5121"/>
    <w:rsid w:val="00BA56D2"/>
    <w:rsid w:val="00BA57C4"/>
    <w:rsid w:val="00BA5811"/>
    <w:rsid w:val="00BA5A7C"/>
    <w:rsid w:val="00BA7254"/>
    <w:rsid w:val="00BA76E0"/>
    <w:rsid w:val="00BA799B"/>
    <w:rsid w:val="00BA7CC9"/>
    <w:rsid w:val="00BA7CD3"/>
    <w:rsid w:val="00BB01C4"/>
    <w:rsid w:val="00BB076E"/>
    <w:rsid w:val="00BB12EA"/>
    <w:rsid w:val="00BB1924"/>
    <w:rsid w:val="00BB1AB6"/>
    <w:rsid w:val="00BB289E"/>
    <w:rsid w:val="00BB2A25"/>
    <w:rsid w:val="00BB2A3C"/>
    <w:rsid w:val="00BB324F"/>
    <w:rsid w:val="00BB33CF"/>
    <w:rsid w:val="00BB3AB3"/>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6BD"/>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593"/>
    <w:rsid w:val="00BC7E8C"/>
    <w:rsid w:val="00BD2022"/>
    <w:rsid w:val="00BD213F"/>
    <w:rsid w:val="00BD2CE4"/>
    <w:rsid w:val="00BD2FFC"/>
    <w:rsid w:val="00BD38D9"/>
    <w:rsid w:val="00BD39A6"/>
    <w:rsid w:val="00BD3F94"/>
    <w:rsid w:val="00BD40BC"/>
    <w:rsid w:val="00BD4462"/>
    <w:rsid w:val="00BD46F0"/>
    <w:rsid w:val="00BD4856"/>
    <w:rsid w:val="00BD48AC"/>
    <w:rsid w:val="00BD4C4F"/>
    <w:rsid w:val="00BD4D38"/>
    <w:rsid w:val="00BD4F6F"/>
    <w:rsid w:val="00BD5062"/>
    <w:rsid w:val="00BD514B"/>
    <w:rsid w:val="00BD5200"/>
    <w:rsid w:val="00BD5D17"/>
    <w:rsid w:val="00BD5F1A"/>
    <w:rsid w:val="00BD635A"/>
    <w:rsid w:val="00BD6BE8"/>
    <w:rsid w:val="00BD748E"/>
    <w:rsid w:val="00BD763B"/>
    <w:rsid w:val="00BE0060"/>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A4"/>
    <w:rsid w:val="00BF25C1"/>
    <w:rsid w:val="00BF2F2D"/>
    <w:rsid w:val="00BF3170"/>
    <w:rsid w:val="00BF3279"/>
    <w:rsid w:val="00BF418D"/>
    <w:rsid w:val="00BF42CE"/>
    <w:rsid w:val="00BF4513"/>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614"/>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2A17"/>
    <w:rsid w:val="00C23052"/>
    <w:rsid w:val="00C230CD"/>
    <w:rsid w:val="00C2349A"/>
    <w:rsid w:val="00C2354A"/>
    <w:rsid w:val="00C23C8F"/>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5975"/>
    <w:rsid w:val="00C3644E"/>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120"/>
    <w:rsid w:val="00C51368"/>
    <w:rsid w:val="00C517C5"/>
    <w:rsid w:val="00C51962"/>
    <w:rsid w:val="00C51EAD"/>
    <w:rsid w:val="00C523FC"/>
    <w:rsid w:val="00C524C4"/>
    <w:rsid w:val="00C5261D"/>
    <w:rsid w:val="00C52776"/>
    <w:rsid w:val="00C528AF"/>
    <w:rsid w:val="00C528FC"/>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E95"/>
    <w:rsid w:val="00C642B3"/>
    <w:rsid w:val="00C644CA"/>
    <w:rsid w:val="00C64622"/>
    <w:rsid w:val="00C64672"/>
    <w:rsid w:val="00C646A6"/>
    <w:rsid w:val="00C64E38"/>
    <w:rsid w:val="00C65804"/>
    <w:rsid w:val="00C65BE2"/>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5D9"/>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97859"/>
    <w:rsid w:val="00CA07F6"/>
    <w:rsid w:val="00CA0DE7"/>
    <w:rsid w:val="00CA0DF6"/>
    <w:rsid w:val="00CA0E98"/>
    <w:rsid w:val="00CA0FF7"/>
    <w:rsid w:val="00CA11A4"/>
    <w:rsid w:val="00CA16DC"/>
    <w:rsid w:val="00CA180F"/>
    <w:rsid w:val="00CA1BAA"/>
    <w:rsid w:val="00CA1ED8"/>
    <w:rsid w:val="00CA23F5"/>
    <w:rsid w:val="00CA367A"/>
    <w:rsid w:val="00CA38C6"/>
    <w:rsid w:val="00CA39A6"/>
    <w:rsid w:val="00CA3AA7"/>
    <w:rsid w:val="00CA488B"/>
    <w:rsid w:val="00CA4C6D"/>
    <w:rsid w:val="00CA4D3D"/>
    <w:rsid w:val="00CA4D80"/>
    <w:rsid w:val="00CA529F"/>
    <w:rsid w:val="00CA55D5"/>
    <w:rsid w:val="00CA5ACA"/>
    <w:rsid w:val="00CA5BD4"/>
    <w:rsid w:val="00CA5D72"/>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3DAC"/>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75C"/>
    <w:rsid w:val="00CB7D54"/>
    <w:rsid w:val="00CB7D96"/>
    <w:rsid w:val="00CB7DF7"/>
    <w:rsid w:val="00CB7FFB"/>
    <w:rsid w:val="00CC02F8"/>
    <w:rsid w:val="00CC040E"/>
    <w:rsid w:val="00CC042E"/>
    <w:rsid w:val="00CC0905"/>
    <w:rsid w:val="00CC0CCA"/>
    <w:rsid w:val="00CC0E36"/>
    <w:rsid w:val="00CC1068"/>
    <w:rsid w:val="00CC111F"/>
    <w:rsid w:val="00CC1A44"/>
    <w:rsid w:val="00CC2011"/>
    <w:rsid w:val="00CC2B75"/>
    <w:rsid w:val="00CC2B85"/>
    <w:rsid w:val="00CC35B6"/>
    <w:rsid w:val="00CC3EA0"/>
    <w:rsid w:val="00CC44A8"/>
    <w:rsid w:val="00CC4F36"/>
    <w:rsid w:val="00CC50E9"/>
    <w:rsid w:val="00CC530B"/>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1DBB"/>
    <w:rsid w:val="00CD1E64"/>
    <w:rsid w:val="00CD29AA"/>
    <w:rsid w:val="00CD2D1C"/>
    <w:rsid w:val="00CD2ED1"/>
    <w:rsid w:val="00CD30E0"/>
    <w:rsid w:val="00CD337B"/>
    <w:rsid w:val="00CD356D"/>
    <w:rsid w:val="00CD35A6"/>
    <w:rsid w:val="00CD3A21"/>
    <w:rsid w:val="00CD40FB"/>
    <w:rsid w:val="00CD41D1"/>
    <w:rsid w:val="00CD54D6"/>
    <w:rsid w:val="00CD5746"/>
    <w:rsid w:val="00CD5F92"/>
    <w:rsid w:val="00CD652D"/>
    <w:rsid w:val="00CD6611"/>
    <w:rsid w:val="00CD6A35"/>
    <w:rsid w:val="00CD7759"/>
    <w:rsid w:val="00CD7E02"/>
    <w:rsid w:val="00CD7F4F"/>
    <w:rsid w:val="00CE0314"/>
    <w:rsid w:val="00CE0424"/>
    <w:rsid w:val="00CE04D1"/>
    <w:rsid w:val="00CE07D9"/>
    <w:rsid w:val="00CE0855"/>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AAB"/>
    <w:rsid w:val="00CE4D85"/>
    <w:rsid w:val="00CE5717"/>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018"/>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9D8"/>
    <w:rsid w:val="00D01D02"/>
    <w:rsid w:val="00D0241C"/>
    <w:rsid w:val="00D02688"/>
    <w:rsid w:val="00D02A44"/>
    <w:rsid w:val="00D02F96"/>
    <w:rsid w:val="00D0304E"/>
    <w:rsid w:val="00D03373"/>
    <w:rsid w:val="00D0349B"/>
    <w:rsid w:val="00D03B86"/>
    <w:rsid w:val="00D03F5B"/>
    <w:rsid w:val="00D041A0"/>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5A4"/>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01"/>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3D0C"/>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3E2"/>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109"/>
    <w:rsid w:val="00D753DB"/>
    <w:rsid w:val="00D7548E"/>
    <w:rsid w:val="00D75533"/>
    <w:rsid w:val="00D75A06"/>
    <w:rsid w:val="00D76CF7"/>
    <w:rsid w:val="00D770D3"/>
    <w:rsid w:val="00D774C8"/>
    <w:rsid w:val="00D774F7"/>
    <w:rsid w:val="00D77B1D"/>
    <w:rsid w:val="00D8002F"/>
    <w:rsid w:val="00D8021F"/>
    <w:rsid w:val="00D80347"/>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971"/>
    <w:rsid w:val="00D90B7C"/>
    <w:rsid w:val="00D90BA6"/>
    <w:rsid w:val="00D90E01"/>
    <w:rsid w:val="00D910BD"/>
    <w:rsid w:val="00D91942"/>
    <w:rsid w:val="00D9196D"/>
    <w:rsid w:val="00D91AAF"/>
    <w:rsid w:val="00D92982"/>
    <w:rsid w:val="00D92F45"/>
    <w:rsid w:val="00D932AE"/>
    <w:rsid w:val="00D9364C"/>
    <w:rsid w:val="00D93A32"/>
    <w:rsid w:val="00D94546"/>
    <w:rsid w:val="00D94E92"/>
    <w:rsid w:val="00D95615"/>
    <w:rsid w:val="00D95819"/>
    <w:rsid w:val="00D96264"/>
    <w:rsid w:val="00D97481"/>
    <w:rsid w:val="00D978EC"/>
    <w:rsid w:val="00D97DD8"/>
    <w:rsid w:val="00DA014B"/>
    <w:rsid w:val="00DA0F5C"/>
    <w:rsid w:val="00DA11D3"/>
    <w:rsid w:val="00DA13F1"/>
    <w:rsid w:val="00DA1793"/>
    <w:rsid w:val="00DA21D6"/>
    <w:rsid w:val="00DA2297"/>
    <w:rsid w:val="00DA2301"/>
    <w:rsid w:val="00DA2BB0"/>
    <w:rsid w:val="00DA3044"/>
    <w:rsid w:val="00DA305E"/>
    <w:rsid w:val="00DA3107"/>
    <w:rsid w:val="00DA3867"/>
    <w:rsid w:val="00DA38EE"/>
    <w:rsid w:val="00DA3960"/>
    <w:rsid w:val="00DA3BBD"/>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44B"/>
    <w:rsid w:val="00DB2B7D"/>
    <w:rsid w:val="00DB2D4E"/>
    <w:rsid w:val="00DB3549"/>
    <w:rsid w:val="00DB3689"/>
    <w:rsid w:val="00DB377D"/>
    <w:rsid w:val="00DB381E"/>
    <w:rsid w:val="00DB4094"/>
    <w:rsid w:val="00DB47D2"/>
    <w:rsid w:val="00DB482C"/>
    <w:rsid w:val="00DB4A5F"/>
    <w:rsid w:val="00DB51F7"/>
    <w:rsid w:val="00DB57A1"/>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3F72"/>
    <w:rsid w:val="00DC43C8"/>
    <w:rsid w:val="00DC456F"/>
    <w:rsid w:val="00DC4809"/>
    <w:rsid w:val="00DC4DE7"/>
    <w:rsid w:val="00DC5145"/>
    <w:rsid w:val="00DC53EF"/>
    <w:rsid w:val="00DC5A23"/>
    <w:rsid w:val="00DC6206"/>
    <w:rsid w:val="00DC6A99"/>
    <w:rsid w:val="00DC7070"/>
    <w:rsid w:val="00DC71AC"/>
    <w:rsid w:val="00DC72B1"/>
    <w:rsid w:val="00DC74F7"/>
    <w:rsid w:val="00DC7723"/>
    <w:rsid w:val="00DC7760"/>
    <w:rsid w:val="00DC7C69"/>
    <w:rsid w:val="00DD0137"/>
    <w:rsid w:val="00DD064E"/>
    <w:rsid w:val="00DD0811"/>
    <w:rsid w:val="00DD11F0"/>
    <w:rsid w:val="00DD1688"/>
    <w:rsid w:val="00DD22D8"/>
    <w:rsid w:val="00DD2608"/>
    <w:rsid w:val="00DD265E"/>
    <w:rsid w:val="00DD2747"/>
    <w:rsid w:val="00DD27D2"/>
    <w:rsid w:val="00DD2957"/>
    <w:rsid w:val="00DD2B33"/>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A8D"/>
    <w:rsid w:val="00DE4490"/>
    <w:rsid w:val="00DE4810"/>
    <w:rsid w:val="00DE4936"/>
    <w:rsid w:val="00DE4E1C"/>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1B06"/>
    <w:rsid w:val="00DF1CE8"/>
    <w:rsid w:val="00DF2289"/>
    <w:rsid w:val="00DF247F"/>
    <w:rsid w:val="00DF2551"/>
    <w:rsid w:val="00DF294E"/>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53D"/>
    <w:rsid w:val="00E07687"/>
    <w:rsid w:val="00E07BAB"/>
    <w:rsid w:val="00E10CF4"/>
    <w:rsid w:val="00E10DBE"/>
    <w:rsid w:val="00E10F3F"/>
    <w:rsid w:val="00E110E7"/>
    <w:rsid w:val="00E1139F"/>
    <w:rsid w:val="00E11AC6"/>
    <w:rsid w:val="00E11B20"/>
    <w:rsid w:val="00E11CF2"/>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83C"/>
    <w:rsid w:val="00E2391F"/>
    <w:rsid w:val="00E23A82"/>
    <w:rsid w:val="00E24318"/>
    <w:rsid w:val="00E24660"/>
    <w:rsid w:val="00E24AA6"/>
    <w:rsid w:val="00E24F85"/>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5E6"/>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1202"/>
    <w:rsid w:val="00E51539"/>
    <w:rsid w:val="00E51E99"/>
    <w:rsid w:val="00E51EDC"/>
    <w:rsid w:val="00E523FE"/>
    <w:rsid w:val="00E52648"/>
    <w:rsid w:val="00E53425"/>
    <w:rsid w:val="00E536CD"/>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4"/>
    <w:rsid w:val="00E56FDD"/>
    <w:rsid w:val="00E57158"/>
    <w:rsid w:val="00E573DA"/>
    <w:rsid w:val="00E5748D"/>
    <w:rsid w:val="00E57565"/>
    <w:rsid w:val="00E576A1"/>
    <w:rsid w:val="00E57F71"/>
    <w:rsid w:val="00E60ED2"/>
    <w:rsid w:val="00E6122D"/>
    <w:rsid w:val="00E612CB"/>
    <w:rsid w:val="00E612DB"/>
    <w:rsid w:val="00E615A7"/>
    <w:rsid w:val="00E6264A"/>
    <w:rsid w:val="00E636A2"/>
    <w:rsid w:val="00E63838"/>
    <w:rsid w:val="00E63AFF"/>
    <w:rsid w:val="00E63B0A"/>
    <w:rsid w:val="00E63BAC"/>
    <w:rsid w:val="00E64126"/>
    <w:rsid w:val="00E64229"/>
    <w:rsid w:val="00E64434"/>
    <w:rsid w:val="00E64B25"/>
    <w:rsid w:val="00E651F0"/>
    <w:rsid w:val="00E6529E"/>
    <w:rsid w:val="00E6580F"/>
    <w:rsid w:val="00E658F2"/>
    <w:rsid w:val="00E668BD"/>
    <w:rsid w:val="00E66BB8"/>
    <w:rsid w:val="00E67130"/>
    <w:rsid w:val="00E671E2"/>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A2C"/>
    <w:rsid w:val="00E85C2F"/>
    <w:rsid w:val="00E86600"/>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30"/>
    <w:rsid w:val="00E95CCB"/>
    <w:rsid w:val="00E9639C"/>
    <w:rsid w:val="00E964FD"/>
    <w:rsid w:val="00E96854"/>
    <w:rsid w:val="00E96D72"/>
    <w:rsid w:val="00E96EA8"/>
    <w:rsid w:val="00E97209"/>
    <w:rsid w:val="00E9769B"/>
    <w:rsid w:val="00E979D1"/>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820"/>
    <w:rsid w:val="00EA6A15"/>
    <w:rsid w:val="00EA6CFA"/>
    <w:rsid w:val="00EA755B"/>
    <w:rsid w:val="00EA7577"/>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6EF"/>
    <w:rsid w:val="00EC0B29"/>
    <w:rsid w:val="00EC1264"/>
    <w:rsid w:val="00EC13C6"/>
    <w:rsid w:val="00EC1453"/>
    <w:rsid w:val="00EC1652"/>
    <w:rsid w:val="00EC1ED7"/>
    <w:rsid w:val="00EC24EE"/>
    <w:rsid w:val="00EC27C6"/>
    <w:rsid w:val="00EC3077"/>
    <w:rsid w:val="00EC33DF"/>
    <w:rsid w:val="00EC391E"/>
    <w:rsid w:val="00EC4181"/>
    <w:rsid w:val="00EC4207"/>
    <w:rsid w:val="00EC4F77"/>
    <w:rsid w:val="00EC511B"/>
    <w:rsid w:val="00EC5316"/>
    <w:rsid w:val="00EC53F6"/>
    <w:rsid w:val="00EC5653"/>
    <w:rsid w:val="00EC570A"/>
    <w:rsid w:val="00EC5800"/>
    <w:rsid w:val="00EC59F7"/>
    <w:rsid w:val="00EC609A"/>
    <w:rsid w:val="00EC640E"/>
    <w:rsid w:val="00EC6496"/>
    <w:rsid w:val="00EC68A8"/>
    <w:rsid w:val="00EC6B1E"/>
    <w:rsid w:val="00EC6D0C"/>
    <w:rsid w:val="00EC71CE"/>
    <w:rsid w:val="00EC7EC5"/>
    <w:rsid w:val="00ED023B"/>
    <w:rsid w:val="00ED1006"/>
    <w:rsid w:val="00ED1510"/>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D7B1D"/>
    <w:rsid w:val="00EE0C53"/>
    <w:rsid w:val="00EE0D7C"/>
    <w:rsid w:val="00EE186A"/>
    <w:rsid w:val="00EE2019"/>
    <w:rsid w:val="00EE2373"/>
    <w:rsid w:val="00EE248C"/>
    <w:rsid w:val="00EE28ED"/>
    <w:rsid w:val="00EE2968"/>
    <w:rsid w:val="00EE3202"/>
    <w:rsid w:val="00EE376D"/>
    <w:rsid w:val="00EE3E75"/>
    <w:rsid w:val="00EE4034"/>
    <w:rsid w:val="00EE4281"/>
    <w:rsid w:val="00EE44D9"/>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8FE"/>
    <w:rsid w:val="00EF1C39"/>
    <w:rsid w:val="00EF1D99"/>
    <w:rsid w:val="00EF233A"/>
    <w:rsid w:val="00EF2D75"/>
    <w:rsid w:val="00EF2E8C"/>
    <w:rsid w:val="00EF2EA4"/>
    <w:rsid w:val="00EF3862"/>
    <w:rsid w:val="00EF3B06"/>
    <w:rsid w:val="00EF464D"/>
    <w:rsid w:val="00EF468F"/>
    <w:rsid w:val="00EF4872"/>
    <w:rsid w:val="00EF53AE"/>
    <w:rsid w:val="00EF5787"/>
    <w:rsid w:val="00EF6019"/>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183"/>
    <w:rsid w:val="00F02313"/>
    <w:rsid w:val="00F02539"/>
    <w:rsid w:val="00F025CD"/>
    <w:rsid w:val="00F02765"/>
    <w:rsid w:val="00F02DCF"/>
    <w:rsid w:val="00F03D8E"/>
    <w:rsid w:val="00F04121"/>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629"/>
    <w:rsid w:val="00F10FC9"/>
    <w:rsid w:val="00F1148E"/>
    <w:rsid w:val="00F11D66"/>
    <w:rsid w:val="00F12187"/>
    <w:rsid w:val="00F122A5"/>
    <w:rsid w:val="00F1254A"/>
    <w:rsid w:val="00F12611"/>
    <w:rsid w:val="00F12B64"/>
    <w:rsid w:val="00F1304E"/>
    <w:rsid w:val="00F1304F"/>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17BC6"/>
    <w:rsid w:val="00F20057"/>
    <w:rsid w:val="00F2020D"/>
    <w:rsid w:val="00F209B7"/>
    <w:rsid w:val="00F20CC3"/>
    <w:rsid w:val="00F211CC"/>
    <w:rsid w:val="00F21660"/>
    <w:rsid w:val="00F223C2"/>
    <w:rsid w:val="00F22527"/>
    <w:rsid w:val="00F2376F"/>
    <w:rsid w:val="00F23DD7"/>
    <w:rsid w:val="00F243D8"/>
    <w:rsid w:val="00F248F5"/>
    <w:rsid w:val="00F25838"/>
    <w:rsid w:val="00F25DD3"/>
    <w:rsid w:val="00F25F40"/>
    <w:rsid w:val="00F26F4F"/>
    <w:rsid w:val="00F26FE5"/>
    <w:rsid w:val="00F27ABF"/>
    <w:rsid w:val="00F27E67"/>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CE6"/>
    <w:rsid w:val="00F33E7C"/>
    <w:rsid w:val="00F341B9"/>
    <w:rsid w:val="00F3478F"/>
    <w:rsid w:val="00F34843"/>
    <w:rsid w:val="00F35FDD"/>
    <w:rsid w:val="00F36056"/>
    <w:rsid w:val="00F3608A"/>
    <w:rsid w:val="00F360F4"/>
    <w:rsid w:val="00F36342"/>
    <w:rsid w:val="00F366E9"/>
    <w:rsid w:val="00F36C8F"/>
    <w:rsid w:val="00F36E94"/>
    <w:rsid w:val="00F36FCE"/>
    <w:rsid w:val="00F372CA"/>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572"/>
    <w:rsid w:val="00F569D3"/>
    <w:rsid w:val="00F56A23"/>
    <w:rsid w:val="00F56BCA"/>
    <w:rsid w:val="00F57426"/>
    <w:rsid w:val="00F576D1"/>
    <w:rsid w:val="00F5792F"/>
    <w:rsid w:val="00F57D73"/>
    <w:rsid w:val="00F57DB3"/>
    <w:rsid w:val="00F60119"/>
    <w:rsid w:val="00F6024D"/>
    <w:rsid w:val="00F607C5"/>
    <w:rsid w:val="00F60DEA"/>
    <w:rsid w:val="00F6107E"/>
    <w:rsid w:val="00F6154C"/>
    <w:rsid w:val="00F61CA9"/>
    <w:rsid w:val="00F6204D"/>
    <w:rsid w:val="00F6208D"/>
    <w:rsid w:val="00F6241C"/>
    <w:rsid w:val="00F62783"/>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8F"/>
    <w:rsid w:val="00F703BE"/>
    <w:rsid w:val="00F70476"/>
    <w:rsid w:val="00F7048C"/>
    <w:rsid w:val="00F70675"/>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8B2"/>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473"/>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A06"/>
    <w:rsid w:val="00F87D78"/>
    <w:rsid w:val="00F87D7B"/>
    <w:rsid w:val="00F87F60"/>
    <w:rsid w:val="00F9056A"/>
    <w:rsid w:val="00F906E1"/>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1B9"/>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143"/>
    <w:rsid w:val="00FD638D"/>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A41"/>
    <w:rsid w:val="00FE2BEB"/>
    <w:rsid w:val="00FE2D55"/>
    <w:rsid w:val="00FE2DFE"/>
    <w:rsid w:val="00FE2FE4"/>
    <w:rsid w:val="00FE3359"/>
    <w:rsid w:val="00FE3485"/>
    <w:rsid w:val="00FE3528"/>
    <w:rsid w:val="00FE35A3"/>
    <w:rsid w:val="00FE3669"/>
    <w:rsid w:val="00FE3ACC"/>
    <w:rsid w:val="00FE3DF2"/>
    <w:rsid w:val="00FE3F74"/>
    <w:rsid w:val="00FE4342"/>
    <w:rsid w:val="00FE45B3"/>
    <w:rsid w:val="00FE4729"/>
    <w:rsid w:val="00FE4A14"/>
    <w:rsid w:val="00FE4BF2"/>
    <w:rsid w:val="00FE4C7B"/>
    <w:rsid w:val="00FE525A"/>
    <w:rsid w:val="00FE5824"/>
    <w:rsid w:val="00FE62AE"/>
    <w:rsid w:val="00FE6592"/>
    <w:rsid w:val="00FE6905"/>
    <w:rsid w:val="00FE6C2F"/>
    <w:rsid w:val="00FE721C"/>
    <w:rsid w:val="00FE7336"/>
    <w:rsid w:val="00FE775A"/>
    <w:rsid w:val="00FE787C"/>
    <w:rsid w:val="00FE7A8A"/>
    <w:rsid w:val="00FE7D4A"/>
    <w:rsid w:val="00FE7F1F"/>
    <w:rsid w:val="00FF0A82"/>
    <w:rsid w:val="00FF0A85"/>
    <w:rsid w:val="00FF10EB"/>
    <w:rsid w:val="00FF10F2"/>
    <w:rsid w:val="00FF14AA"/>
    <w:rsid w:val="00FF1A11"/>
    <w:rsid w:val="00FF1C1A"/>
    <w:rsid w:val="00FF1FE5"/>
    <w:rsid w:val="00FF27E7"/>
    <w:rsid w:val="00FF2B05"/>
    <w:rsid w:val="00FF2D42"/>
    <w:rsid w:val="00FF40D2"/>
    <w:rsid w:val="00FF4255"/>
    <w:rsid w:val="00FF45A5"/>
    <w:rsid w:val="00FF55A2"/>
    <w:rsid w:val="00FF5C91"/>
    <w:rsid w:val="00FF5EC1"/>
    <w:rsid w:val="00FF6227"/>
    <w:rsid w:val="00FF6379"/>
    <w:rsid w:val="00FF676B"/>
    <w:rsid w:val="00FF685D"/>
    <w:rsid w:val="00FF6E01"/>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11BodyText">
    <w:name w:val="11 BodyText"/>
    <w:basedOn w:val="Normal"/>
    <w:rsid w:val="00672B0D"/>
    <w:pPr>
      <w:overflowPunct/>
      <w:autoSpaceDE/>
      <w:autoSpaceDN/>
      <w:adjustRightInd/>
      <w:spacing w:after="220"/>
      <w:ind w:left="1298"/>
      <w:jc w:val="left"/>
      <w:textAlignment w:val="auto"/>
    </w:pPr>
    <w:rPr>
      <w:rFonts w:eastAsia="SimSu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3.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4.xml><?xml version="1.0" encoding="utf-8"?>
<ds:datastoreItem xmlns:ds="http://schemas.openxmlformats.org/officeDocument/2006/customXml" ds:itemID="{9D7DCE2D-E0D4-41B5-AD74-BDCB75F39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33E05B-54AD-4CBE-894E-1E04395FD32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10245</TotalTime>
  <Pages>9</Pages>
  <Words>3180</Words>
  <Characters>18158</Characters>
  <Application>Microsoft Office Word</Application>
  <DocSecurity>0</DocSecurity>
  <Lines>315</Lines>
  <Paragraphs>137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Oumer Teyeb</cp:lastModifiedBy>
  <cp:revision>1300</cp:revision>
  <cp:lastPrinted>2016-11-05T00:26:00Z</cp:lastPrinted>
  <dcterms:created xsi:type="dcterms:W3CDTF">2024-05-07T03:43:00Z</dcterms:created>
  <dcterms:modified xsi:type="dcterms:W3CDTF">2025-11-07T07:24:00Z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